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  <w:t>南京医科大学康达学院</w:t>
      </w: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采购招标工作流程</w:t>
      </w:r>
    </w:p>
    <w:p>
      <w:pPr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（一）拟采购项目经费所属部门向学院职能部门提出采购申请；</w:t>
      </w:r>
    </w:p>
    <w:p>
      <w:pPr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（二）学院职能部门结合各部门申请合理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编制年度招投标计划，并落实拟采购招标项目经费渠道；</w:t>
      </w:r>
    </w:p>
    <w:p>
      <w:pPr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（三）采购招标职能部门对采购申请进行论证，并邀请相关专业技术部门对技术参数进行核定；</w:t>
      </w:r>
    </w:p>
    <w:p>
      <w:pPr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（四）采购招标职能部门草拟招标文件，报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财务处、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监察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审计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室、招投标管理中心审核；</w:t>
      </w:r>
    </w:p>
    <w:p>
      <w:pPr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（五）招投标管理中心发布采购招标采购信息，提供采购招标参数清单并接受投标书；</w:t>
      </w:r>
    </w:p>
    <w:p>
      <w:pPr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（六）监察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审计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室根据评审项目实际情况，会同招投标管理中心抽取、确定并通知评审专家； </w:t>
      </w:r>
    </w:p>
    <w:p>
      <w:pPr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（七）招投标管理中心在采购招标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工作领导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小组组长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指导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下组建招标参与人员，协助采购招标职能部门组织开标、评标，采购招标工作小组确定意向中标单位；</w:t>
      </w:r>
    </w:p>
    <w:p>
      <w:pPr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（八）招投标管理中心依据招投标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领导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小组批复结果，确认是否签发中标单位《中标通知书》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并公示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（九）与中标单位签署经济合同。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悠悠紫</cp:lastModifiedBy>
  <dcterms:modified xsi:type="dcterms:W3CDTF">2019-04-28T03:49:29Z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