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sz w:val="36"/>
          <w:szCs w:val="36"/>
          <w:lang w:val="en-US" w:eastAsia="zh-CN"/>
        </w:rPr>
      </w:pPr>
      <w:r>
        <w:rPr>
          <w:rFonts w:hint="eastAsia" w:ascii="黑体" w:hAnsi="黑体" w:eastAsia="黑体"/>
          <w:sz w:val="36"/>
          <w:szCs w:val="36"/>
          <w:lang w:val="en-US" w:eastAsia="zh-CN"/>
        </w:rPr>
        <w:t>附件1</w:t>
      </w:r>
    </w:p>
    <w:p>
      <w:pPr>
        <w:jc w:val="center"/>
        <w:rPr>
          <w:rFonts w:hint="eastAsia" w:ascii="黑体" w:hAnsi="黑体" w:eastAsia="黑体"/>
          <w:sz w:val="36"/>
          <w:szCs w:val="36"/>
        </w:rPr>
      </w:pPr>
      <w:r>
        <w:rPr>
          <w:rFonts w:hint="eastAsia" w:ascii="黑体" w:hAnsi="黑体" w:eastAsia="黑体"/>
          <w:sz w:val="36"/>
          <w:szCs w:val="36"/>
        </w:rPr>
        <w:t>南京医科大学康达学院车辆管理规定</w:t>
      </w:r>
      <w:r>
        <w:rPr>
          <w:rFonts w:ascii="黑体" w:hAnsi="黑体" w:eastAsia="黑体"/>
          <w:sz w:val="36"/>
          <w:szCs w:val="36"/>
        </w:rPr>
        <w:br w:type="textWrapping"/>
      </w:r>
      <w:r>
        <w:rPr>
          <w:rFonts w:hint="eastAsia" w:ascii="黑体" w:hAnsi="黑体" w:eastAsia="黑体"/>
          <w:sz w:val="36"/>
          <w:szCs w:val="36"/>
        </w:rPr>
        <w:t>(暂行)</w:t>
      </w:r>
    </w:p>
    <w:p>
      <w:pPr>
        <w:widowControl/>
        <w:tabs>
          <w:tab w:val="left" w:pos="1440"/>
          <w:tab w:val="left" w:pos="1920"/>
        </w:tabs>
        <w:ind w:firstLine="482" w:firstLineChars="200"/>
        <w:jc w:val="left"/>
        <w:rPr>
          <w:rFonts w:hint="eastAsia"/>
          <w:b/>
          <w:color w:val="auto"/>
          <w:kern w:val="0"/>
          <w:sz w:val="24"/>
        </w:rPr>
      </w:pPr>
    </w:p>
    <w:p>
      <w:pPr>
        <w:spacing w:line="440" w:lineRule="exact"/>
        <w:ind w:firstLine="480" w:firstLineChars="200"/>
        <w:rPr>
          <w:rFonts w:ascii="宋体" w:hAnsi="宋体"/>
          <w:color w:val="auto"/>
          <w:sz w:val="24"/>
        </w:rPr>
      </w:pPr>
      <w:r>
        <w:rPr>
          <w:rFonts w:hint="eastAsia" w:ascii="宋体" w:hAnsi="宋体"/>
          <w:color w:val="auto"/>
          <w:sz w:val="24"/>
        </w:rPr>
        <w:t>为加强我院车辆安全管理，保障师生员工通行安全，维护良好的校园道路秩序和教学、生活秩序，创建和谐、平安的校园氛围。依据《中华人民共和国道路交通安全法》，结合南京医科大学康达学院校园实际情况制定本规定。</w:t>
      </w:r>
    </w:p>
    <w:p>
      <w:pPr>
        <w:spacing w:line="440" w:lineRule="exact"/>
        <w:ind w:firstLine="480" w:firstLineChars="200"/>
        <w:rPr>
          <w:rFonts w:hint="eastAsia" w:ascii="宋体" w:hAnsi="宋体"/>
          <w:color w:val="auto"/>
          <w:sz w:val="24"/>
        </w:rPr>
      </w:pPr>
    </w:p>
    <w:p>
      <w:pPr>
        <w:spacing w:line="440" w:lineRule="exact"/>
        <w:ind w:firstLine="562" w:firstLineChars="200"/>
        <w:jc w:val="center"/>
        <w:rPr>
          <w:rFonts w:hint="eastAsia" w:ascii="黑体" w:hAnsi="黑体" w:eastAsia="黑体"/>
          <w:b/>
          <w:color w:val="auto"/>
          <w:sz w:val="28"/>
          <w:szCs w:val="28"/>
        </w:rPr>
      </w:pPr>
      <w:r>
        <w:rPr>
          <w:rFonts w:hint="eastAsia" w:ascii="黑体" w:hAnsi="黑体" w:eastAsia="黑体"/>
          <w:b/>
          <w:color w:val="auto"/>
          <w:sz w:val="28"/>
          <w:szCs w:val="28"/>
        </w:rPr>
        <w:t>第一章</w:t>
      </w:r>
      <w:r>
        <w:rPr>
          <w:rFonts w:ascii="黑体" w:hAnsi="黑体" w:eastAsia="黑体"/>
          <w:b/>
          <w:color w:val="auto"/>
          <w:sz w:val="28"/>
          <w:szCs w:val="28"/>
        </w:rPr>
        <w:t xml:space="preserve">  </w:t>
      </w:r>
      <w:r>
        <w:rPr>
          <w:rFonts w:hint="eastAsia" w:ascii="黑体" w:hAnsi="黑体" w:eastAsia="黑体"/>
          <w:b/>
          <w:color w:val="auto"/>
          <w:sz w:val="28"/>
          <w:szCs w:val="28"/>
        </w:rPr>
        <w:t>机动车车辆管理</w:t>
      </w:r>
    </w:p>
    <w:p>
      <w:pPr>
        <w:spacing w:line="440" w:lineRule="exact"/>
        <w:ind w:firstLine="482" w:firstLineChars="200"/>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机动车管理是指机动车进出校门及在校内道路上行驶与停放等交通行为的管理，被管理得机动车是指所有在校园内的机动车车辆，包括摩托车。</w:t>
      </w:r>
    </w:p>
    <w:p>
      <w:pPr>
        <w:spacing w:line="440" w:lineRule="exact"/>
        <w:ind w:firstLine="482" w:firstLineChars="200"/>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本着安全管理与教育相结合的管理原则，机动车经由车牌识别系统进出校园，并按指定地点停放。</w:t>
      </w:r>
    </w:p>
    <w:p>
      <w:pPr>
        <w:spacing w:line="440" w:lineRule="exact"/>
        <w:ind w:firstLine="482" w:firstLineChars="200"/>
        <w:rPr>
          <w:rFonts w:hint="eastAsia" w:ascii="宋体" w:hAnsi="宋体"/>
          <w:color w:val="auto"/>
          <w:sz w:val="24"/>
        </w:rPr>
      </w:pPr>
      <w:r>
        <w:rPr>
          <w:rFonts w:hint="eastAsia" w:ascii="宋体" w:hAnsi="宋体"/>
          <w:b/>
          <w:color w:val="auto"/>
          <w:sz w:val="24"/>
        </w:rPr>
        <w:t>第三条</w:t>
      </w:r>
      <w:r>
        <w:rPr>
          <w:rFonts w:hint="eastAsia" w:ascii="宋体" w:hAnsi="宋体"/>
          <w:color w:val="auto"/>
          <w:sz w:val="24"/>
        </w:rPr>
        <w:t xml:space="preserve"> 机动车在校园内行驶，应在道路右侧通行，不准鸣笛，时速不得超过15公里，人员密集、道路狭窄、</w:t>
      </w:r>
      <w:r>
        <w:rPr>
          <w:rFonts w:ascii="宋体" w:hAnsi="宋体"/>
          <w:color w:val="auto"/>
          <w:sz w:val="24"/>
        </w:rPr>
        <w:t>弯道</w:t>
      </w:r>
      <w:r>
        <w:rPr>
          <w:rFonts w:hint="eastAsia" w:ascii="宋体" w:hAnsi="宋体"/>
          <w:color w:val="auto"/>
          <w:sz w:val="24"/>
        </w:rPr>
        <w:t>等</w:t>
      </w:r>
      <w:r>
        <w:rPr>
          <w:rFonts w:ascii="宋体" w:hAnsi="宋体"/>
          <w:color w:val="auto"/>
          <w:sz w:val="24"/>
        </w:rPr>
        <w:t>路段</w:t>
      </w:r>
      <w:r>
        <w:rPr>
          <w:rFonts w:hint="eastAsia" w:ascii="宋体" w:hAnsi="宋体"/>
          <w:color w:val="auto"/>
          <w:sz w:val="24"/>
        </w:rPr>
        <w:t>时速不得超过5公里。必须严格遵守校园的交通标志、标线，严禁超速行驶及鸣笛，以确保行人和非机动车的行驶安全。</w:t>
      </w:r>
    </w:p>
    <w:p>
      <w:pPr>
        <w:spacing w:line="440" w:lineRule="exact"/>
        <w:ind w:firstLine="482" w:firstLineChars="200"/>
        <w:rPr>
          <w:rFonts w:hint="eastAsia" w:ascii="宋体" w:hAnsi="宋体"/>
          <w:color w:val="auto"/>
          <w:sz w:val="24"/>
        </w:rPr>
      </w:pPr>
      <w:r>
        <w:rPr>
          <w:rFonts w:hint="eastAsia" w:ascii="宋体" w:hAnsi="宋体"/>
          <w:b/>
          <w:color w:val="auto"/>
          <w:sz w:val="24"/>
        </w:rPr>
        <w:t>第四条</w:t>
      </w:r>
      <w:r>
        <w:rPr>
          <w:rFonts w:hint="eastAsia" w:ascii="宋体" w:hAnsi="宋体"/>
          <w:color w:val="auto"/>
          <w:sz w:val="24"/>
        </w:rPr>
        <w:t xml:space="preserve"> 禁止校外机动车借校园道路穿行，出租车不得进入校园内，乘坐出租车者一律在校门外下车，步行进校。</w:t>
      </w:r>
    </w:p>
    <w:p>
      <w:pPr>
        <w:spacing w:line="440" w:lineRule="exact"/>
        <w:ind w:firstLine="482" w:firstLineChars="200"/>
        <w:rPr>
          <w:rFonts w:hint="eastAsia" w:ascii="宋体" w:hAnsi="宋体"/>
          <w:color w:val="auto"/>
          <w:sz w:val="24"/>
        </w:rPr>
      </w:pPr>
      <w:r>
        <w:rPr>
          <w:rFonts w:hint="eastAsia" w:ascii="宋体" w:hAnsi="宋体"/>
          <w:b/>
          <w:color w:val="auto"/>
          <w:sz w:val="24"/>
        </w:rPr>
        <w:t>第五条</w:t>
      </w:r>
      <w:r>
        <w:rPr>
          <w:rFonts w:hint="eastAsia" w:ascii="宋体" w:hAnsi="宋体"/>
          <w:color w:val="auto"/>
          <w:sz w:val="24"/>
        </w:rPr>
        <w:t xml:space="preserve"> 院内车辆及教职工自备车进出校园均需填写《南京医科大学康达学院校园车辆通行申请表》，后勤保卫处将统一导入车辆识别系统中进行统一</w:t>
      </w:r>
      <w:r>
        <w:rPr>
          <w:rFonts w:ascii="宋体" w:hAnsi="宋体"/>
          <w:color w:val="auto"/>
          <w:sz w:val="24"/>
        </w:rPr>
        <w:t>管理</w:t>
      </w:r>
      <w:r>
        <w:rPr>
          <w:rFonts w:hint="eastAsia" w:ascii="宋体" w:hAnsi="宋体"/>
          <w:color w:val="auto"/>
          <w:sz w:val="24"/>
        </w:rPr>
        <w:t>。</w:t>
      </w:r>
    </w:p>
    <w:p>
      <w:pPr>
        <w:spacing w:line="440" w:lineRule="exact"/>
        <w:ind w:firstLine="482" w:firstLineChars="200"/>
        <w:rPr>
          <w:rFonts w:hint="eastAsia" w:ascii="宋体" w:hAnsi="宋体"/>
          <w:color w:val="auto"/>
          <w:sz w:val="24"/>
        </w:rPr>
      </w:pPr>
      <w:r>
        <w:rPr>
          <w:rFonts w:hint="eastAsia" w:ascii="宋体" w:hAnsi="宋体"/>
          <w:b/>
          <w:color w:val="auto"/>
          <w:sz w:val="24"/>
        </w:rPr>
        <w:t>第六条</w:t>
      </w:r>
      <w:r>
        <w:rPr>
          <w:rFonts w:hint="eastAsia" w:ascii="宋体" w:hAnsi="宋体"/>
          <w:color w:val="auto"/>
          <w:sz w:val="24"/>
        </w:rPr>
        <w:t xml:space="preserve"> 车辆信息由学院后勤保卫处统一导入车辆识别系统中，各单位具体办理手续：</w:t>
      </w:r>
    </w:p>
    <w:p>
      <w:pPr>
        <w:spacing w:line="440" w:lineRule="exact"/>
        <w:ind w:firstLine="480" w:firstLineChars="200"/>
        <w:rPr>
          <w:rFonts w:hint="eastAsia" w:ascii="宋体" w:hAnsi="宋体"/>
          <w:color w:val="auto"/>
          <w:sz w:val="24"/>
        </w:rPr>
      </w:pPr>
      <w:r>
        <w:rPr>
          <w:rFonts w:hint="eastAsia" w:ascii="宋体" w:hAnsi="宋体"/>
          <w:color w:val="auto"/>
          <w:sz w:val="24"/>
        </w:rPr>
        <w:t>（1）提供申请报告（见附件）。</w:t>
      </w:r>
    </w:p>
    <w:p>
      <w:pPr>
        <w:spacing w:line="440" w:lineRule="exact"/>
        <w:ind w:firstLine="480" w:firstLineChars="200"/>
        <w:rPr>
          <w:rFonts w:hint="eastAsia" w:ascii="宋体" w:hAnsi="宋体"/>
          <w:color w:val="auto"/>
          <w:sz w:val="24"/>
        </w:rPr>
      </w:pPr>
      <w:r>
        <w:rPr>
          <w:rFonts w:hint="eastAsia" w:ascii="宋体" w:hAnsi="宋体"/>
          <w:color w:val="auto"/>
          <w:sz w:val="24"/>
        </w:rPr>
        <w:t>（2）教职工自备车凭驾驶证、行驶证、工作证（均附复印件，如行驶证是家庭其他成员还需带户口薄）。</w:t>
      </w:r>
    </w:p>
    <w:p>
      <w:pPr>
        <w:spacing w:line="440" w:lineRule="exact"/>
        <w:ind w:firstLine="482" w:firstLineChars="200"/>
        <w:rPr>
          <w:rFonts w:hint="eastAsia" w:ascii="宋体" w:hAnsi="宋体"/>
          <w:color w:val="auto"/>
          <w:sz w:val="24"/>
        </w:rPr>
      </w:pPr>
      <w:r>
        <w:rPr>
          <w:rFonts w:hint="eastAsia" w:ascii="宋体" w:hAnsi="宋体"/>
          <w:b/>
          <w:color w:val="auto"/>
          <w:sz w:val="24"/>
        </w:rPr>
        <w:t>第七条</w:t>
      </w:r>
      <w:r>
        <w:rPr>
          <w:rFonts w:hint="eastAsia" w:ascii="宋体" w:hAnsi="宋体"/>
          <w:color w:val="auto"/>
          <w:sz w:val="24"/>
        </w:rPr>
        <w:t xml:space="preserve">  学院合同单位，如物业单位、施工单位、租赁单位等，要办理《南京医科大学康达学院机动车临时通行证》，由上述各单位到后勤保卫处办理，在合同期满后归还后勤保卫处。</w:t>
      </w:r>
    </w:p>
    <w:p>
      <w:pPr>
        <w:spacing w:line="440" w:lineRule="exact"/>
        <w:ind w:firstLine="482" w:firstLineChars="200"/>
        <w:rPr>
          <w:rFonts w:ascii="宋体" w:hAnsi="宋体"/>
          <w:color w:val="auto"/>
          <w:sz w:val="24"/>
        </w:rPr>
      </w:pPr>
      <w:r>
        <w:rPr>
          <w:rFonts w:hint="eastAsia" w:ascii="宋体" w:hAnsi="宋体"/>
          <w:b/>
          <w:color w:val="auto"/>
          <w:sz w:val="24"/>
        </w:rPr>
        <w:t>第八条</w:t>
      </w:r>
      <w:r>
        <w:rPr>
          <w:rFonts w:hint="eastAsia" w:ascii="宋体" w:hAnsi="宋体"/>
          <w:color w:val="auto"/>
          <w:sz w:val="24"/>
        </w:rPr>
        <w:t xml:space="preserve">  所有车辆必须停放在指定停车位，校内主要道路、各消防通道等禁止停放，如在上述区域违章停车、堵塞交通的车辆，予以批评教育；对屡教屡犯、不听劝阻、情节严重者由后勤保卫处给予相应处罚。</w:t>
      </w:r>
    </w:p>
    <w:p>
      <w:pPr>
        <w:spacing w:line="440" w:lineRule="exact"/>
        <w:ind w:firstLine="482" w:firstLineChars="200"/>
        <w:rPr>
          <w:rFonts w:ascii="宋体" w:hAnsi="宋体"/>
          <w:color w:val="auto"/>
          <w:sz w:val="24"/>
        </w:rPr>
      </w:pPr>
      <w:r>
        <w:rPr>
          <w:rFonts w:hint="eastAsia" w:ascii="宋体" w:hAnsi="宋体"/>
          <w:b/>
          <w:bCs/>
          <w:color w:val="auto"/>
          <w:sz w:val="24"/>
        </w:rPr>
        <w:t>第九条</w:t>
      </w:r>
      <w:r>
        <w:rPr>
          <w:rFonts w:hint="eastAsia" w:ascii="宋体" w:hAnsi="宋体"/>
          <w:color w:val="auto"/>
          <w:sz w:val="24"/>
        </w:rPr>
        <w:t xml:space="preserve">  各单位组织大型活动时，若有较多数量的校外机动车辆需进入校园，需提前三天将机动车数量及车牌号报后勤保卫处备案，后勤保卫处将集中协调车辆出入与停放。</w:t>
      </w:r>
    </w:p>
    <w:p>
      <w:pPr>
        <w:spacing w:line="440" w:lineRule="exact"/>
        <w:ind w:firstLine="482" w:firstLineChars="200"/>
        <w:rPr>
          <w:rFonts w:hint="eastAsia" w:ascii="宋体" w:hAnsi="宋体"/>
          <w:color w:val="auto"/>
          <w:sz w:val="24"/>
        </w:rPr>
      </w:pPr>
      <w:r>
        <w:rPr>
          <w:rFonts w:hint="eastAsia" w:ascii="宋体" w:hAnsi="宋体"/>
          <w:b/>
          <w:color w:val="auto"/>
          <w:sz w:val="24"/>
        </w:rPr>
        <w:t>第十条</w:t>
      </w:r>
      <w:r>
        <w:rPr>
          <w:rFonts w:hint="eastAsia" w:ascii="宋体" w:hAnsi="宋体"/>
          <w:color w:val="auto"/>
          <w:sz w:val="24"/>
        </w:rPr>
        <w:t xml:space="preserve">  机动车必须在指定地点停放；校外车辆，未经后勤保卫处同意，一律不准在校内停放过夜。严禁在非停车点乱停乱放，如发现有违规行为及影响学院正常道路秩序的车辆，后勤保卫处将例行移开车辆，移动车辆的所需费用，均由该车主负责。</w:t>
      </w:r>
    </w:p>
    <w:p>
      <w:pPr>
        <w:spacing w:line="440" w:lineRule="exact"/>
        <w:ind w:firstLine="482" w:firstLineChars="200"/>
        <w:rPr>
          <w:rFonts w:hint="eastAsia" w:ascii="宋体" w:hAnsi="宋体"/>
          <w:color w:val="auto"/>
          <w:sz w:val="24"/>
        </w:rPr>
      </w:pPr>
      <w:r>
        <w:rPr>
          <w:rFonts w:hint="eastAsia" w:ascii="宋体" w:hAnsi="宋体"/>
          <w:b/>
          <w:color w:val="auto"/>
          <w:sz w:val="24"/>
        </w:rPr>
        <w:t>第十一条</w:t>
      </w:r>
      <w:r>
        <w:rPr>
          <w:rFonts w:hint="eastAsia" w:ascii="宋体" w:hAnsi="宋体"/>
          <w:color w:val="auto"/>
          <w:sz w:val="24"/>
        </w:rPr>
        <w:t xml:space="preserve">  禁止在校园内进行驾驶机动车培训、教练试车，严禁酒后驾车。</w:t>
      </w:r>
    </w:p>
    <w:p>
      <w:pPr>
        <w:spacing w:line="360" w:lineRule="auto"/>
        <w:ind w:firstLine="482" w:firstLineChars="200"/>
        <w:jc w:val="left"/>
        <w:rPr>
          <w:rFonts w:hint="eastAsia" w:ascii="宋体" w:hAnsi="宋体" w:cs="宋体"/>
          <w:color w:val="auto"/>
          <w:sz w:val="24"/>
        </w:rPr>
      </w:pPr>
      <w:r>
        <w:rPr>
          <w:rFonts w:hint="eastAsia" w:ascii="宋体" w:hAnsi="宋体"/>
          <w:b/>
          <w:color w:val="auto"/>
          <w:sz w:val="24"/>
        </w:rPr>
        <w:t>第十二条</w:t>
      </w:r>
      <w:r>
        <w:rPr>
          <w:rFonts w:hint="eastAsia" w:ascii="宋体" w:hAnsi="宋体"/>
          <w:color w:val="auto"/>
          <w:sz w:val="24"/>
        </w:rPr>
        <w:t xml:space="preserve">  </w:t>
      </w:r>
      <w:r>
        <w:rPr>
          <w:rFonts w:hint="eastAsia" w:ascii="宋体" w:hAnsi="宋体" w:cs="宋体"/>
          <w:color w:val="auto"/>
          <w:sz w:val="24"/>
        </w:rPr>
        <w:t>违反校</w:t>
      </w:r>
      <w:r>
        <w:rPr>
          <w:rFonts w:ascii="宋体" w:hAnsi="宋体" w:cs="宋体"/>
          <w:color w:val="auto"/>
          <w:sz w:val="24"/>
        </w:rPr>
        <w:t>园</w:t>
      </w:r>
      <w:r>
        <w:rPr>
          <w:rFonts w:hint="eastAsia" w:ascii="宋体" w:hAnsi="宋体" w:cs="宋体"/>
          <w:color w:val="auto"/>
          <w:sz w:val="24"/>
        </w:rPr>
        <w:t>车辆</w:t>
      </w:r>
      <w:r>
        <w:rPr>
          <w:rFonts w:ascii="宋体" w:hAnsi="宋体" w:cs="宋体"/>
          <w:color w:val="auto"/>
          <w:sz w:val="24"/>
        </w:rPr>
        <w:t>管理规定的处罚</w:t>
      </w:r>
      <w:r>
        <w:rPr>
          <w:rFonts w:hint="eastAsia" w:ascii="宋体" w:hAnsi="宋体" w:cs="宋体"/>
          <w:color w:val="auto"/>
          <w:sz w:val="24"/>
        </w:rPr>
        <w:t>措施：</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w:t>
      </w:r>
      <w:r>
        <w:rPr>
          <w:rFonts w:ascii="宋体" w:hAnsi="宋体" w:cs="宋体"/>
          <w:bCs/>
          <w:color w:val="auto"/>
          <w:sz w:val="24"/>
        </w:rPr>
        <w:t>.</w:t>
      </w:r>
      <w:r>
        <w:rPr>
          <w:rFonts w:hint="eastAsia" w:ascii="宋体" w:hAnsi="宋体" w:cs="宋体"/>
          <w:bCs/>
          <w:color w:val="auto"/>
          <w:sz w:val="24"/>
        </w:rPr>
        <w:t>对在校园内不按</w:t>
      </w:r>
      <w:r>
        <w:rPr>
          <w:rFonts w:ascii="宋体" w:hAnsi="宋体" w:cs="宋体"/>
          <w:bCs/>
          <w:color w:val="auto"/>
          <w:sz w:val="24"/>
        </w:rPr>
        <w:t>规定行驶</w:t>
      </w:r>
      <w:r>
        <w:rPr>
          <w:rFonts w:hint="eastAsia" w:ascii="宋体" w:hAnsi="宋体" w:cs="宋体"/>
          <w:bCs/>
          <w:color w:val="auto"/>
          <w:sz w:val="24"/>
        </w:rPr>
        <w:t>或停放的车辆进行贴单告知，并做记录；对三次以上违反有</w:t>
      </w:r>
      <w:r>
        <w:rPr>
          <w:rFonts w:ascii="宋体" w:hAnsi="宋体" w:cs="宋体"/>
          <w:bCs/>
          <w:color w:val="auto"/>
          <w:sz w:val="24"/>
        </w:rPr>
        <w:t>关</w:t>
      </w:r>
      <w:r>
        <w:rPr>
          <w:rFonts w:hint="eastAsia" w:ascii="宋体" w:hAnsi="宋体" w:cs="宋体"/>
          <w:bCs/>
          <w:color w:val="auto"/>
          <w:sz w:val="24"/>
        </w:rPr>
        <w:t>规定的车辆者将与其出</w:t>
      </w:r>
      <w:r>
        <w:rPr>
          <w:rFonts w:ascii="宋体" w:hAnsi="宋体" w:cs="宋体"/>
          <w:bCs/>
          <w:color w:val="auto"/>
          <w:sz w:val="24"/>
        </w:rPr>
        <w:t>入</w:t>
      </w:r>
      <w:r>
        <w:rPr>
          <w:rFonts w:hint="eastAsia" w:ascii="宋体" w:hAnsi="宋体" w:cs="宋体"/>
          <w:bCs/>
          <w:color w:val="auto"/>
          <w:sz w:val="24"/>
        </w:rPr>
        <w:t>通行证</w:t>
      </w:r>
      <w:r>
        <w:rPr>
          <w:rFonts w:ascii="宋体" w:hAnsi="宋体" w:cs="宋体"/>
          <w:bCs/>
          <w:color w:val="auto"/>
          <w:sz w:val="24"/>
        </w:rPr>
        <w:t>年检</w:t>
      </w:r>
      <w:r>
        <w:rPr>
          <w:rFonts w:hint="eastAsia" w:ascii="宋体" w:hAnsi="宋体" w:cs="宋体"/>
          <w:bCs/>
          <w:color w:val="auto"/>
          <w:sz w:val="24"/>
        </w:rPr>
        <w:t>、年终绩效考核、荣誉</w:t>
      </w:r>
      <w:r>
        <w:rPr>
          <w:rFonts w:ascii="宋体" w:hAnsi="宋体" w:cs="宋体"/>
          <w:bCs/>
          <w:color w:val="auto"/>
          <w:sz w:val="24"/>
        </w:rPr>
        <w:t>称号申报</w:t>
      </w:r>
      <w:r>
        <w:rPr>
          <w:rFonts w:hint="eastAsia" w:ascii="宋体" w:hAnsi="宋体" w:cs="宋体"/>
          <w:bCs/>
          <w:color w:val="auto"/>
          <w:sz w:val="24"/>
        </w:rPr>
        <w:t>等挂钩；协作单位违反规定的车辆者将与其奖</w:t>
      </w:r>
      <w:r>
        <w:rPr>
          <w:rFonts w:ascii="宋体" w:hAnsi="宋体" w:cs="宋体"/>
          <w:bCs/>
          <w:color w:val="auto"/>
          <w:sz w:val="24"/>
        </w:rPr>
        <w:t>补基金</w:t>
      </w:r>
      <w:r>
        <w:rPr>
          <w:rFonts w:hint="eastAsia" w:ascii="宋体" w:hAnsi="宋体" w:cs="宋体"/>
          <w:bCs/>
          <w:color w:val="auto"/>
          <w:sz w:val="24"/>
        </w:rPr>
        <w:t>考核</w:t>
      </w:r>
      <w:r>
        <w:rPr>
          <w:rFonts w:ascii="宋体" w:hAnsi="宋体" w:cs="宋体"/>
          <w:bCs/>
          <w:color w:val="auto"/>
          <w:sz w:val="24"/>
        </w:rPr>
        <w:t>等</w:t>
      </w:r>
      <w:r>
        <w:rPr>
          <w:rFonts w:hint="eastAsia" w:ascii="宋体" w:hAnsi="宋体" w:cs="宋体"/>
          <w:bCs/>
          <w:color w:val="auto"/>
          <w:sz w:val="24"/>
        </w:rPr>
        <w:t>挂钩。 </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w:t>
      </w:r>
      <w:r>
        <w:rPr>
          <w:rFonts w:ascii="宋体" w:hAnsi="宋体" w:cs="宋体"/>
          <w:bCs/>
          <w:color w:val="auto"/>
          <w:sz w:val="24"/>
        </w:rPr>
        <w:t>.</w:t>
      </w:r>
      <w:r>
        <w:rPr>
          <w:rFonts w:hint="eastAsia" w:ascii="宋体" w:hAnsi="宋体" w:cs="宋体"/>
          <w:bCs/>
          <w:color w:val="auto"/>
          <w:sz w:val="24"/>
        </w:rPr>
        <w:t>对因违停、</w:t>
      </w:r>
      <w:r>
        <w:rPr>
          <w:rFonts w:ascii="宋体" w:hAnsi="宋体" w:cs="宋体"/>
          <w:bCs/>
          <w:color w:val="auto"/>
          <w:sz w:val="24"/>
        </w:rPr>
        <w:t>超速等违规行为</w:t>
      </w:r>
      <w:r>
        <w:rPr>
          <w:rFonts w:hint="eastAsia" w:ascii="宋体" w:hAnsi="宋体" w:cs="宋体"/>
          <w:bCs/>
          <w:color w:val="auto"/>
          <w:sz w:val="24"/>
        </w:rPr>
        <w:t>造成他人人身伤害和财产损失的交由相关部门处理。</w:t>
      </w:r>
    </w:p>
    <w:p>
      <w:pPr>
        <w:spacing w:line="440" w:lineRule="exact"/>
        <w:ind w:firstLine="562" w:firstLineChars="200"/>
        <w:jc w:val="center"/>
        <w:rPr>
          <w:rFonts w:ascii="黑体" w:hAnsi="黑体" w:eastAsia="黑体"/>
          <w:b/>
          <w:color w:val="auto"/>
          <w:sz w:val="28"/>
          <w:szCs w:val="28"/>
        </w:rPr>
      </w:pPr>
    </w:p>
    <w:p>
      <w:pPr>
        <w:spacing w:line="440" w:lineRule="exact"/>
        <w:ind w:firstLine="562" w:firstLineChars="200"/>
        <w:jc w:val="center"/>
        <w:rPr>
          <w:rFonts w:ascii="黑体" w:hAnsi="黑体" w:eastAsia="黑体"/>
          <w:b/>
          <w:color w:val="auto"/>
          <w:sz w:val="28"/>
          <w:szCs w:val="28"/>
        </w:rPr>
      </w:pPr>
      <w:r>
        <w:rPr>
          <w:rFonts w:hint="eastAsia" w:ascii="黑体" w:hAnsi="黑体" w:eastAsia="黑体"/>
          <w:b/>
          <w:color w:val="auto"/>
          <w:sz w:val="28"/>
          <w:szCs w:val="28"/>
        </w:rPr>
        <w:t>第二章</w:t>
      </w:r>
      <w:r>
        <w:rPr>
          <w:rFonts w:ascii="黑体" w:hAnsi="黑体" w:eastAsia="黑体"/>
          <w:b/>
          <w:color w:val="auto"/>
          <w:sz w:val="28"/>
          <w:szCs w:val="28"/>
        </w:rPr>
        <w:t xml:space="preserve">  </w:t>
      </w:r>
      <w:r>
        <w:rPr>
          <w:rFonts w:hint="eastAsia" w:ascii="黑体" w:hAnsi="黑体" w:eastAsia="黑体"/>
          <w:b/>
          <w:color w:val="auto"/>
          <w:sz w:val="28"/>
          <w:szCs w:val="28"/>
        </w:rPr>
        <w:t>非机动车车辆管理</w:t>
      </w:r>
    </w:p>
    <w:p>
      <w:pPr>
        <w:spacing w:line="440" w:lineRule="exact"/>
        <w:ind w:firstLine="482" w:firstLineChars="200"/>
        <w:rPr>
          <w:rFonts w:hint="eastAsia" w:ascii="宋体" w:hAnsi="宋体"/>
          <w:color w:val="auto"/>
          <w:sz w:val="24"/>
        </w:rPr>
      </w:pPr>
      <w:r>
        <w:rPr>
          <w:rFonts w:hint="eastAsia" w:ascii="宋体" w:hAnsi="宋体"/>
          <w:b/>
          <w:color w:val="auto"/>
          <w:sz w:val="24"/>
        </w:rPr>
        <w:t>第十三条</w:t>
      </w:r>
      <w:r>
        <w:rPr>
          <w:rFonts w:hint="eastAsia" w:ascii="宋体" w:hAnsi="宋体"/>
          <w:color w:val="auto"/>
          <w:sz w:val="24"/>
        </w:rPr>
        <w:t xml:space="preserve">  非机动车在校园内行驶必须服从管理，必须按指定地点有序停放，严禁乱停乱放，影响交通、校容。</w:t>
      </w:r>
    </w:p>
    <w:p>
      <w:pPr>
        <w:spacing w:line="440" w:lineRule="exact"/>
        <w:ind w:firstLine="482" w:firstLineChars="200"/>
        <w:rPr>
          <w:rFonts w:hint="eastAsia" w:ascii="宋体" w:hAnsi="宋体"/>
          <w:color w:val="auto"/>
          <w:sz w:val="24"/>
        </w:rPr>
      </w:pPr>
      <w:r>
        <w:rPr>
          <w:rFonts w:hint="eastAsia" w:ascii="宋体" w:hAnsi="宋体"/>
          <w:b/>
          <w:color w:val="auto"/>
          <w:sz w:val="24"/>
        </w:rPr>
        <w:t>第十四条</w:t>
      </w:r>
      <w:r>
        <w:rPr>
          <w:rFonts w:hint="eastAsia" w:ascii="宋体" w:hAnsi="宋体"/>
          <w:color w:val="auto"/>
          <w:sz w:val="24"/>
        </w:rPr>
        <w:t xml:space="preserve">  非机动车均须在道路右侧或划有分道线的虚线内(慢车道)靠右行驶。</w:t>
      </w:r>
    </w:p>
    <w:p>
      <w:pPr>
        <w:spacing w:line="440" w:lineRule="exact"/>
        <w:ind w:firstLine="482" w:firstLineChars="200"/>
        <w:rPr>
          <w:rFonts w:hint="eastAsia" w:ascii="宋体" w:hAnsi="宋体"/>
          <w:color w:val="auto"/>
          <w:sz w:val="24"/>
        </w:rPr>
      </w:pPr>
      <w:r>
        <w:rPr>
          <w:rFonts w:hint="eastAsia" w:ascii="宋体" w:hAnsi="宋体"/>
          <w:b/>
          <w:color w:val="auto"/>
          <w:sz w:val="24"/>
        </w:rPr>
        <w:t>第十五条</w:t>
      </w:r>
      <w:r>
        <w:rPr>
          <w:rFonts w:hint="eastAsia" w:ascii="宋体" w:hAnsi="宋体"/>
          <w:color w:val="auto"/>
          <w:sz w:val="24"/>
        </w:rPr>
        <w:t xml:space="preserve">  严禁证照不全、车刹不灵的自行车、三轮车、手（拉）推车、助力车、残疾人专用车在校园内骑行。</w:t>
      </w:r>
    </w:p>
    <w:p>
      <w:pPr>
        <w:spacing w:line="440" w:lineRule="exact"/>
        <w:ind w:firstLine="482" w:firstLineChars="200"/>
        <w:rPr>
          <w:rFonts w:ascii="宋体" w:hAnsi="宋体"/>
          <w:color w:val="auto"/>
          <w:sz w:val="24"/>
        </w:rPr>
      </w:pPr>
      <w:r>
        <w:rPr>
          <w:rFonts w:hint="eastAsia" w:ascii="宋体" w:hAnsi="宋体"/>
          <w:b/>
          <w:color w:val="auto"/>
          <w:sz w:val="24"/>
        </w:rPr>
        <w:t>第十六条</w:t>
      </w:r>
      <w:r>
        <w:rPr>
          <w:rFonts w:hint="eastAsia" w:ascii="宋体" w:hAnsi="宋体"/>
          <w:color w:val="auto"/>
          <w:sz w:val="24"/>
        </w:rPr>
        <w:t xml:space="preserve">  严禁骑自行车带人、双手离把、骑车追逐和骑快车、飞车；通过视线不良的交叉路口时应减速慢行或下车推行；严禁在校园内学骑非机动车。 校园内禁止燃油摩托车通行。</w:t>
      </w:r>
    </w:p>
    <w:p>
      <w:pPr>
        <w:spacing w:line="440" w:lineRule="exact"/>
        <w:ind w:firstLine="480" w:firstLineChars="200"/>
        <w:rPr>
          <w:rFonts w:hint="eastAsia" w:ascii="宋体" w:hAnsi="宋体"/>
          <w:color w:val="auto"/>
          <w:sz w:val="24"/>
        </w:rPr>
      </w:pPr>
    </w:p>
    <w:p>
      <w:pPr>
        <w:spacing w:line="440" w:lineRule="exact"/>
        <w:ind w:firstLine="562" w:firstLineChars="200"/>
        <w:jc w:val="center"/>
        <w:rPr>
          <w:rFonts w:hint="eastAsia" w:ascii="黑体" w:hAnsi="黑体" w:eastAsia="黑体"/>
          <w:b/>
          <w:color w:val="auto"/>
          <w:sz w:val="28"/>
          <w:szCs w:val="28"/>
        </w:rPr>
      </w:pPr>
      <w:r>
        <w:rPr>
          <w:rFonts w:hint="eastAsia" w:ascii="黑体" w:hAnsi="黑体" w:eastAsia="黑体"/>
          <w:b/>
          <w:color w:val="auto"/>
          <w:sz w:val="28"/>
          <w:szCs w:val="28"/>
        </w:rPr>
        <w:t>附</w:t>
      </w:r>
      <w:r>
        <w:rPr>
          <w:rFonts w:ascii="黑体" w:hAnsi="黑体" w:eastAsia="黑体"/>
          <w:b/>
          <w:color w:val="auto"/>
          <w:sz w:val="28"/>
          <w:szCs w:val="28"/>
        </w:rPr>
        <w:t xml:space="preserve">  </w:t>
      </w:r>
      <w:r>
        <w:rPr>
          <w:rFonts w:hint="eastAsia" w:ascii="黑体" w:hAnsi="黑体" w:eastAsia="黑体"/>
          <w:b/>
          <w:color w:val="auto"/>
          <w:sz w:val="28"/>
          <w:szCs w:val="28"/>
        </w:rPr>
        <w:t>则</w:t>
      </w:r>
    </w:p>
    <w:p>
      <w:pPr>
        <w:spacing w:line="440" w:lineRule="exact"/>
        <w:ind w:firstLine="482" w:firstLineChars="200"/>
        <w:rPr>
          <w:rFonts w:hint="eastAsia" w:ascii="宋体" w:hAnsi="宋体"/>
          <w:color w:val="auto"/>
          <w:sz w:val="24"/>
        </w:rPr>
      </w:pPr>
      <w:r>
        <w:rPr>
          <w:rFonts w:hint="eastAsia" w:ascii="宋体" w:hAnsi="宋体"/>
          <w:b/>
          <w:color w:val="auto"/>
          <w:sz w:val="24"/>
        </w:rPr>
        <w:t>第十七条</w:t>
      </w:r>
      <w:r>
        <w:rPr>
          <w:rFonts w:ascii="宋体" w:hAnsi="宋体"/>
          <w:color w:val="auto"/>
          <w:sz w:val="24"/>
        </w:rPr>
        <w:t> </w:t>
      </w:r>
      <w:r>
        <w:rPr>
          <w:rFonts w:hint="eastAsia" w:ascii="宋体" w:hAnsi="宋体" w:cs="宋体"/>
          <w:color w:val="auto"/>
          <w:sz w:val="24"/>
        </w:rPr>
        <w:t>学院各部门要广泛宣传，并教育师生员工自觉遵守和维护学院的规定</w:t>
      </w:r>
      <w:r>
        <w:rPr>
          <w:rFonts w:hint="eastAsia" w:ascii="宋体" w:hAnsi="宋体"/>
          <w:color w:val="auto"/>
          <w:sz w:val="24"/>
        </w:rPr>
        <w:t>。</w:t>
      </w:r>
    </w:p>
    <w:p>
      <w:pPr>
        <w:spacing w:line="440" w:lineRule="exact"/>
        <w:ind w:firstLine="482" w:firstLineChars="200"/>
        <w:rPr>
          <w:rFonts w:hint="eastAsia" w:ascii="宋体" w:hAnsi="宋体"/>
          <w:color w:val="auto"/>
          <w:sz w:val="24"/>
        </w:rPr>
      </w:pPr>
      <w:r>
        <w:rPr>
          <w:rFonts w:hint="eastAsia" w:ascii="宋体" w:hAnsi="宋体"/>
          <w:b/>
          <w:color w:val="auto"/>
          <w:sz w:val="24"/>
        </w:rPr>
        <w:t>第十八条</w:t>
      </w:r>
      <w:r>
        <w:rPr>
          <w:rFonts w:hint="eastAsia" w:ascii="宋体" w:hAnsi="宋体"/>
          <w:color w:val="auto"/>
          <w:sz w:val="24"/>
        </w:rPr>
        <w:t xml:space="preserve">  停放在校园内的车辆驾驶员要做好安全防范工作，关好车门、车窗，车内不得存放贵重物品。</w:t>
      </w:r>
    </w:p>
    <w:p>
      <w:pPr>
        <w:spacing w:line="440" w:lineRule="exact"/>
        <w:ind w:firstLine="482" w:firstLineChars="200"/>
        <w:rPr>
          <w:rFonts w:hint="eastAsia" w:ascii="宋体" w:hAnsi="宋体"/>
          <w:color w:val="auto"/>
          <w:sz w:val="24"/>
        </w:rPr>
      </w:pPr>
      <w:r>
        <w:rPr>
          <w:rFonts w:hint="eastAsia" w:ascii="宋体" w:hAnsi="宋体"/>
          <w:b/>
          <w:color w:val="auto"/>
          <w:sz w:val="24"/>
        </w:rPr>
        <w:t>第十九条</w:t>
      </w:r>
      <w:r>
        <w:rPr>
          <w:rFonts w:ascii="宋体" w:hAnsi="宋体"/>
          <w:color w:val="auto"/>
          <w:sz w:val="24"/>
        </w:rPr>
        <w:t xml:space="preserve">  </w:t>
      </w:r>
      <w:r>
        <w:rPr>
          <w:rFonts w:hint="eastAsia" w:ascii="宋体" w:hAnsi="宋体"/>
          <w:color w:val="auto"/>
          <w:sz w:val="24"/>
        </w:rPr>
        <w:t>本规定适用于南京医科大学康达学院校园。</w:t>
      </w:r>
    </w:p>
    <w:p>
      <w:pPr>
        <w:spacing w:line="440" w:lineRule="exact"/>
        <w:ind w:firstLine="482" w:firstLineChars="200"/>
        <w:rPr>
          <w:rFonts w:ascii="宋体" w:hAnsi="宋体"/>
          <w:color w:val="auto"/>
          <w:sz w:val="24"/>
        </w:rPr>
      </w:pPr>
      <w:r>
        <w:rPr>
          <w:rFonts w:hint="eastAsia" w:ascii="宋体" w:hAnsi="宋体"/>
          <w:b/>
          <w:color w:val="auto"/>
          <w:sz w:val="24"/>
        </w:rPr>
        <w:t>第二十条</w:t>
      </w:r>
      <w:r>
        <w:rPr>
          <w:rFonts w:ascii="宋体" w:hAnsi="宋体"/>
          <w:color w:val="auto"/>
          <w:sz w:val="24"/>
        </w:rPr>
        <w:t> </w:t>
      </w:r>
      <w:r>
        <w:rPr>
          <w:rFonts w:hint="eastAsia" w:ascii="宋体" w:hAnsi="宋体"/>
          <w:color w:val="auto"/>
          <w:sz w:val="24"/>
        </w:rPr>
        <w:t>本规定自公布之日起施行，由后勤保卫处负责解释。</w:t>
      </w: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r>
        <w:rPr>
          <w:rFonts w:hint="eastAsia" w:ascii="宋体" w:hAnsi="宋体"/>
          <w:color w:val="auto"/>
          <w:sz w:val="24"/>
        </w:rPr>
        <w:t xml:space="preserve">                                       南京</w:t>
      </w:r>
      <w:r>
        <w:rPr>
          <w:rFonts w:ascii="宋体" w:hAnsi="宋体"/>
          <w:color w:val="auto"/>
          <w:sz w:val="24"/>
        </w:rPr>
        <w:t>医科大学</w:t>
      </w:r>
      <w:r>
        <w:rPr>
          <w:rFonts w:hint="eastAsia" w:ascii="宋体" w:hAnsi="宋体"/>
          <w:color w:val="auto"/>
          <w:sz w:val="24"/>
        </w:rPr>
        <w:t>康</w:t>
      </w:r>
      <w:r>
        <w:rPr>
          <w:rFonts w:ascii="宋体" w:hAnsi="宋体"/>
          <w:color w:val="auto"/>
          <w:sz w:val="24"/>
        </w:rPr>
        <w:t>达学院后勤保卫处</w:t>
      </w:r>
    </w:p>
    <w:p>
      <w:pPr>
        <w:spacing w:line="440" w:lineRule="exact"/>
        <w:ind w:firstLine="480" w:firstLineChars="200"/>
        <w:rPr>
          <w:rFonts w:hint="eastAsia" w:ascii="宋体" w:hAnsi="宋体"/>
          <w:color w:val="auto"/>
          <w:sz w:val="24"/>
        </w:rPr>
      </w:pPr>
      <w:r>
        <w:rPr>
          <w:rFonts w:ascii="宋体" w:hAnsi="宋体"/>
          <w:color w:val="auto"/>
          <w:sz w:val="24"/>
        </w:rPr>
        <w:t xml:space="preserve">                                              2016</w:t>
      </w:r>
      <w:r>
        <w:rPr>
          <w:rFonts w:hint="eastAsia" w:ascii="宋体" w:hAnsi="宋体"/>
          <w:color w:val="auto"/>
          <w:sz w:val="24"/>
        </w:rPr>
        <w:t>年3月31日</w:t>
      </w:r>
    </w:p>
    <w:p>
      <w:pPr>
        <w:jc w:val="center"/>
        <w:rPr>
          <w:rFonts w:eastAsia="黑体"/>
          <w:bCs/>
          <w:sz w:val="36"/>
          <w:szCs w:val="36"/>
        </w:rPr>
      </w:pPr>
    </w:p>
    <w:p>
      <w:pPr>
        <w:jc w:val="center"/>
        <w:rPr>
          <w:rFonts w:eastAsia="黑体"/>
          <w:bCs/>
          <w:sz w:val="36"/>
          <w:szCs w:val="36"/>
        </w:rPr>
      </w:pPr>
    </w:p>
    <w:p>
      <w:pPr>
        <w:jc w:val="center"/>
        <w:rPr>
          <w:rFonts w:eastAsia="黑体"/>
          <w:bCs/>
          <w:sz w:val="36"/>
          <w:szCs w:val="36"/>
        </w:rPr>
      </w:pPr>
    </w:p>
    <w:p>
      <w:pPr>
        <w:jc w:val="center"/>
        <w:rPr>
          <w:rFonts w:eastAsia="黑体"/>
          <w:bCs/>
          <w:sz w:val="36"/>
          <w:szCs w:val="36"/>
        </w:rPr>
      </w:pPr>
    </w:p>
    <w:p>
      <w:pPr>
        <w:jc w:val="center"/>
        <w:rPr>
          <w:rFonts w:eastAsia="黑体"/>
          <w:bCs/>
          <w:sz w:val="36"/>
          <w:szCs w:val="36"/>
        </w:rPr>
      </w:pPr>
    </w:p>
    <w:p>
      <w:pPr>
        <w:jc w:val="both"/>
        <w:rPr>
          <w:rFonts w:hint="eastAsia" w:eastAsia="黑体"/>
          <w:bCs/>
          <w:sz w:val="36"/>
          <w:szCs w:val="36"/>
          <w:lang w:val="en-US" w:eastAsia="zh-CN"/>
        </w:rPr>
      </w:pPr>
    </w:p>
    <w:p>
      <w:pPr>
        <w:jc w:val="both"/>
        <w:rPr>
          <w:rFonts w:hint="eastAsia" w:eastAsia="黑体"/>
          <w:bCs/>
          <w:sz w:val="36"/>
          <w:szCs w:val="36"/>
          <w:lang w:val="en-US" w:eastAsia="zh-CN"/>
        </w:rPr>
      </w:pPr>
    </w:p>
    <w:p>
      <w:pPr>
        <w:jc w:val="both"/>
        <w:rPr>
          <w:rFonts w:hint="eastAsia" w:eastAsia="黑体"/>
          <w:bCs/>
          <w:sz w:val="36"/>
          <w:szCs w:val="36"/>
          <w:lang w:val="en-US" w:eastAsia="zh-CN"/>
        </w:rPr>
      </w:pPr>
    </w:p>
    <w:p>
      <w:pPr>
        <w:jc w:val="both"/>
        <w:rPr>
          <w:rFonts w:hint="eastAsia" w:eastAsia="黑体"/>
          <w:bCs/>
          <w:sz w:val="36"/>
          <w:szCs w:val="36"/>
          <w:lang w:val="en-US" w:eastAsia="zh-CN"/>
        </w:rPr>
      </w:pPr>
    </w:p>
    <w:p>
      <w:pPr>
        <w:jc w:val="both"/>
        <w:rPr>
          <w:rFonts w:hint="eastAsia" w:eastAsia="黑体"/>
          <w:bCs/>
          <w:sz w:val="36"/>
          <w:szCs w:val="36"/>
          <w:lang w:val="en-US" w:eastAsia="zh-CN"/>
        </w:rPr>
      </w:pPr>
    </w:p>
    <w:p>
      <w:pPr>
        <w:jc w:val="both"/>
        <w:rPr>
          <w:rFonts w:hint="eastAsia" w:eastAsia="黑体"/>
          <w:bCs/>
          <w:sz w:val="36"/>
          <w:szCs w:val="36"/>
          <w:lang w:val="en-US" w:eastAsia="zh-CN"/>
        </w:rPr>
      </w:pPr>
      <w:r>
        <w:rPr>
          <w:rFonts w:hint="eastAsia" w:eastAsia="黑体"/>
          <w:bCs/>
          <w:sz w:val="36"/>
          <w:szCs w:val="36"/>
          <w:lang w:val="en-US" w:eastAsia="zh-CN"/>
        </w:rPr>
        <w:t>附件2</w:t>
      </w:r>
    </w:p>
    <w:p>
      <w:pPr>
        <w:jc w:val="center"/>
        <w:rPr>
          <w:rFonts w:eastAsia="黑体"/>
          <w:bCs/>
          <w:sz w:val="36"/>
          <w:szCs w:val="36"/>
        </w:rPr>
      </w:pPr>
      <w:r>
        <w:rPr>
          <w:rFonts w:eastAsia="黑体"/>
          <w:bCs/>
          <w:sz w:val="36"/>
          <w:szCs w:val="36"/>
        </w:rPr>
        <w:t>征求意见表</w:t>
      </w:r>
    </w:p>
    <w:tbl>
      <w:tblPr>
        <w:tblStyle w:val="3"/>
        <w:tblW w:w="902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815"/>
        <w:gridCol w:w="2439"/>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79" w:type="dxa"/>
            <w:vAlign w:val="center"/>
          </w:tcPr>
          <w:p>
            <w:pPr>
              <w:jc w:val="center"/>
              <w:rPr>
                <w:rFonts w:eastAsia="仿宋_GB2312"/>
                <w:sz w:val="24"/>
              </w:rPr>
            </w:pPr>
            <w:r>
              <w:rPr>
                <w:rFonts w:eastAsia="仿宋_GB2312"/>
                <w:sz w:val="24"/>
              </w:rPr>
              <w:t>名称</w:t>
            </w:r>
          </w:p>
        </w:tc>
        <w:tc>
          <w:tcPr>
            <w:tcW w:w="8043" w:type="dxa"/>
            <w:gridSpan w:val="3"/>
            <w:vAlign w:val="center"/>
          </w:tcPr>
          <w:p>
            <w:pPr>
              <w:widowControl/>
              <w:spacing w:line="360" w:lineRule="auto"/>
              <w:jc w:val="center"/>
              <w:rPr>
                <w:rFonts w:eastAsia="仿宋_GB2312"/>
                <w:sz w:val="24"/>
              </w:rPr>
            </w:pPr>
            <w:r>
              <w:rPr>
                <w:rFonts w:eastAsia="仿宋_GB2312"/>
                <w:kern w:val="0"/>
                <w:sz w:val="24"/>
              </w:rPr>
              <w:t>《</w:t>
            </w:r>
            <w:r>
              <w:rPr>
                <w:rFonts w:hint="eastAsia"/>
                <w:kern w:val="0"/>
                <w:sz w:val="24"/>
                <w:lang w:val="en-US" w:eastAsia="zh-CN"/>
              </w:rPr>
              <w:t>南京医科大学康达学院车辆管理规定（暂行）</w:t>
            </w:r>
            <w:r>
              <w:rPr>
                <w:rFonts w:eastAsia="仿宋_GB2312"/>
                <w:kern w:val="0"/>
                <w:sz w:val="24"/>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79" w:type="dxa"/>
            <w:vAlign w:val="center"/>
          </w:tcPr>
          <w:p>
            <w:pPr>
              <w:jc w:val="center"/>
              <w:rPr>
                <w:rFonts w:eastAsia="仿宋_GB2312"/>
                <w:sz w:val="24"/>
              </w:rPr>
            </w:pPr>
            <w:r>
              <w:rPr>
                <w:rFonts w:eastAsia="仿宋_GB2312"/>
                <w:sz w:val="24"/>
              </w:rPr>
              <w:t>起草</w:t>
            </w:r>
          </w:p>
          <w:p>
            <w:pPr>
              <w:jc w:val="center"/>
              <w:rPr>
                <w:rFonts w:eastAsia="仿宋_GB2312"/>
                <w:sz w:val="24"/>
              </w:rPr>
            </w:pPr>
            <w:r>
              <w:rPr>
                <w:rFonts w:eastAsia="仿宋_GB2312"/>
                <w:sz w:val="24"/>
              </w:rPr>
              <w:t>部门</w:t>
            </w:r>
          </w:p>
        </w:tc>
        <w:tc>
          <w:tcPr>
            <w:tcW w:w="2815" w:type="dxa"/>
            <w:vAlign w:val="center"/>
          </w:tcPr>
          <w:p>
            <w:pPr>
              <w:jc w:val="center"/>
              <w:rPr>
                <w:rFonts w:hint="eastAsia" w:eastAsia="仿宋_GB2312"/>
                <w:sz w:val="24"/>
                <w:lang w:eastAsia="zh-CN"/>
              </w:rPr>
            </w:pPr>
            <w:r>
              <w:rPr>
                <w:rFonts w:hint="eastAsia"/>
                <w:sz w:val="24"/>
                <w:lang w:val="en-US" w:eastAsia="zh-CN"/>
              </w:rPr>
              <w:t>后勤保卫处</w:t>
            </w:r>
          </w:p>
        </w:tc>
        <w:tc>
          <w:tcPr>
            <w:tcW w:w="2439" w:type="dxa"/>
            <w:vAlign w:val="center"/>
          </w:tcPr>
          <w:p>
            <w:pPr>
              <w:jc w:val="center"/>
              <w:rPr>
                <w:rFonts w:hint="eastAsia" w:eastAsia="仿宋_GB2312"/>
                <w:sz w:val="24"/>
                <w:lang w:eastAsia="zh-CN"/>
              </w:rPr>
            </w:pPr>
            <w:r>
              <w:rPr>
                <w:rFonts w:hint="eastAsia"/>
                <w:sz w:val="24"/>
                <w:lang w:val="en-US" w:eastAsia="zh-CN"/>
              </w:rPr>
              <w:t>填表部门</w:t>
            </w:r>
          </w:p>
        </w:tc>
        <w:tc>
          <w:tcPr>
            <w:tcW w:w="2789"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8" w:hRule="atLeast"/>
        </w:trPr>
        <w:tc>
          <w:tcPr>
            <w:tcW w:w="979" w:type="dxa"/>
            <w:tcBorders>
              <w:bottom w:val="single" w:color="auto" w:sz="4" w:space="0"/>
            </w:tcBorders>
            <w:vAlign w:val="center"/>
          </w:tcPr>
          <w:p>
            <w:pPr>
              <w:jc w:val="center"/>
              <w:rPr>
                <w:sz w:val="24"/>
              </w:rPr>
            </w:pPr>
            <w:r>
              <w:rPr>
                <w:sz w:val="24"/>
              </w:rPr>
              <w:t>意</w:t>
            </w:r>
          </w:p>
          <w:p>
            <w:pPr>
              <w:jc w:val="center"/>
              <w:rPr>
                <w:sz w:val="24"/>
              </w:rPr>
            </w:pPr>
            <w:r>
              <w:rPr>
                <w:sz w:val="24"/>
              </w:rPr>
              <w:t>见</w:t>
            </w:r>
          </w:p>
          <w:p>
            <w:pPr>
              <w:jc w:val="center"/>
              <w:rPr>
                <w:sz w:val="24"/>
              </w:rPr>
            </w:pPr>
            <w:r>
              <w:rPr>
                <w:rFonts w:hint="eastAsia"/>
                <w:sz w:val="24"/>
                <w:lang w:val="en-US" w:eastAsia="zh-CN"/>
              </w:rPr>
              <w:t>和</w:t>
            </w:r>
          </w:p>
          <w:p>
            <w:pPr>
              <w:jc w:val="center"/>
              <w:rPr>
                <w:sz w:val="24"/>
              </w:rPr>
            </w:pPr>
            <w:r>
              <w:rPr>
                <w:sz w:val="24"/>
              </w:rPr>
              <w:t>建</w:t>
            </w:r>
          </w:p>
          <w:p>
            <w:pPr>
              <w:jc w:val="center"/>
              <w:rPr>
                <w:sz w:val="24"/>
              </w:rPr>
            </w:pPr>
            <w:r>
              <w:rPr>
                <w:sz w:val="24"/>
              </w:rPr>
              <w:t>议</w:t>
            </w:r>
          </w:p>
          <w:p>
            <w:pPr>
              <w:jc w:val="center"/>
              <w:rPr>
                <w:sz w:val="24"/>
              </w:rPr>
            </w:pPr>
          </w:p>
        </w:tc>
        <w:tc>
          <w:tcPr>
            <w:tcW w:w="8043" w:type="dxa"/>
            <w:gridSpan w:val="3"/>
            <w:tcBorders>
              <w:bottom w:val="single" w:color="auto" w:sz="4" w:space="0"/>
            </w:tcBorders>
            <w:vAlign w:val="top"/>
          </w:tcPr>
          <w:p>
            <w:pPr>
              <w:rPr>
                <w:sz w:val="24"/>
              </w:rPr>
            </w:pPr>
            <w:r>
              <w:rPr>
                <w:sz w:val="24"/>
              </w:rPr>
              <w:t xml:space="preserve">                                      </w:t>
            </w:r>
          </w:p>
          <w:p>
            <w:pPr>
              <w:rPr>
                <w:sz w:val="24"/>
              </w:rPr>
            </w:pPr>
          </w:p>
          <w:p>
            <w:pPr>
              <w:rPr>
                <w:sz w:val="24"/>
              </w:rPr>
            </w:pPr>
            <w:r>
              <w:rPr>
                <w:sz w:val="24"/>
              </w:rPr>
              <w:t xml:space="preserve">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lang w:val="en-US" w:eastAsia="zh-CN"/>
              </w:rPr>
            </w:pPr>
            <w:r>
              <w:rPr>
                <w:rFonts w:hint="eastAsia"/>
                <w:sz w:val="24"/>
                <w:lang w:val="en-US" w:eastAsia="zh-CN"/>
              </w:rPr>
              <w:t xml:space="preserve">                                        填表部门（盖章）：</w:t>
            </w:r>
          </w:p>
          <w:p>
            <w:pPr>
              <w:rPr>
                <w:rFonts w:hint="eastAsia"/>
                <w:sz w:val="24"/>
                <w:lang w:val="en-US" w:eastAsia="zh-CN"/>
              </w:rPr>
            </w:pPr>
            <w:r>
              <w:rPr>
                <w:rFonts w:hint="eastAsia"/>
                <w:sz w:val="24"/>
                <w:lang w:val="en-US" w:eastAsia="zh-CN"/>
              </w:rPr>
              <w:t xml:space="preserve">                                             </w:t>
            </w:r>
          </w:p>
          <w:p>
            <w:pPr>
              <w:rPr>
                <w:rFonts w:hint="eastAsia"/>
                <w:sz w:val="24"/>
                <w:lang w:val="en-US" w:eastAsia="zh-CN"/>
              </w:rPr>
            </w:pPr>
            <w:r>
              <w:rPr>
                <w:rFonts w:hint="eastAsia"/>
                <w:sz w:val="24"/>
                <w:lang w:val="en-US" w:eastAsia="zh-CN"/>
              </w:rPr>
              <w:t xml:space="preserve">                                             部门负责人：</w:t>
            </w:r>
          </w:p>
          <w:p>
            <w:pPr>
              <w:rPr>
                <w:sz w:val="24"/>
              </w:rPr>
            </w:pPr>
          </w:p>
          <w:p>
            <w:pPr>
              <w:ind w:firstLine="4320" w:firstLineChars="1800"/>
              <w:rPr>
                <w:sz w:val="24"/>
              </w:rPr>
            </w:pPr>
            <w:r>
              <w:rPr>
                <w:sz w:val="24"/>
              </w:rPr>
              <w:t xml:space="preserve">       </w:t>
            </w:r>
            <w:r>
              <w:rPr>
                <w:rFonts w:hint="eastAsia"/>
                <w:sz w:val="24"/>
                <w:lang w:val="en-US" w:eastAsia="zh-CN"/>
              </w:rPr>
              <w:t xml:space="preserve">              </w:t>
            </w:r>
            <w:r>
              <w:rPr>
                <w:sz w:val="24"/>
              </w:rPr>
              <w:t xml:space="preserve"> 年   月   日 </w:t>
            </w:r>
          </w:p>
        </w:tc>
      </w:tr>
    </w:tbl>
    <w:p>
      <w:pPr/>
      <w:bookmarkStart w:id="0" w:name="_GoBack"/>
      <w:bookmarkEnd w:id="0"/>
    </w:p>
    <w:sectPr>
      <w:pgSz w:w="11906" w:h="16838"/>
      <w:pgMar w:top="2098" w:right="1474" w:bottom="1985" w:left="1588" w:header="851" w:footer="992" w:gutter="0"/>
      <w:cols w:space="720" w:num="1"/>
      <w:docGrid w:type="linesAndChars" w:linePitch="435"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A7860"/>
    <w:rsid w:val="684A78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2016-04-13T07:52:00Z</dcterms:created>
  <dc:creator>Administrator</dc:creator>
  <cp:lastModifiedBy>Administrator</cp:lastModifiedBy>
  <dcterms:modified xsi:type="dcterms:W3CDTF">2016-04-13T07:52:34Z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