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bCs/>
          <w:color w:val="auto"/>
          <w:sz w:val="36"/>
          <w:szCs w:val="36"/>
          <w:highlight w:val="none"/>
        </w:rPr>
        <w:t>南京医科大学康达学院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bCs/>
          <w:color w:val="auto"/>
          <w:sz w:val="36"/>
          <w:szCs w:val="36"/>
          <w:highlight w:val="none"/>
        </w:rPr>
        <w:t>学生违纪处分流程图</w:t>
      </w: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76835</wp:posOffset>
                </wp:positionV>
                <wp:extent cx="3829050" cy="3829685"/>
                <wp:effectExtent l="4445" t="4445" r="14605" b="139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3829685"/>
                          <a:chOff x="6242" y="2581"/>
                          <a:chExt cx="6030" cy="6031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7831" y="2581"/>
                            <a:ext cx="2835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学生违纪事实的初步认定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9248" y="3050"/>
                            <a:ext cx="0" cy="5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7831" y="3561"/>
                            <a:ext cx="2835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学生违纪事实的调查取证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9248" y="4012"/>
                            <a:ext cx="1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8552" y="4591"/>
                            <a:ext cx="2016" cy="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给予学生记过或留校察看处分的，由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  <w:lang w:eastAsia="zh-CN"/>
                                </w:rPr>
                                <w:t>学部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提出处理意见，经有关职能部门审议，报主管院领导签批后发文并公告。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箭头连接符 10"/>
                        <wps:cNvCnPr>
                          <a:stCxn id="7" idx="2"/>
                        </wps:cNvCnPr>
                        <wps:spPr>
                          <a:xfrm flipH="1">
                            <a:off x="7387" y="4012"/>
                            <a:ext cx="1862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stCxn id="7" idx="2"/>
                        </wps:cNvCnPr>
                        <wps:spPr>
                          <a:xfrm>
                            <a:off x="9249" y="4005"/>
                            <a:ext cx="2271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6251" y="4591"/>
                            <a:ext cx="2143" cy="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给予学生警告或严重警告处分的，由学生所在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  <w:lang w:eastAsia="zh-CN"/>
                                </w:rPr>
                                <w:t>学部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研究决定，并由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  <w:lang w:eastAsia="zh-CN"/>
                                </w:rPr>
                                <w:t>学部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出具处理决定文本，发文并公告，送学生工作处备案。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0766" y="4591"/>
                            <a:ext cx="1507" cy="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给予学生开除学籍处分的，由主管院领导提交院长会议研究决定，并报省教育厅备案。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箭头连接符 14"/>
                        <wps:cNvCnPr>
                          <a:stCxn id="7" idx="2"/>
                        </wps:cNvCnPr>
                        <wps:spPr>
                          <a:xfrm>
                            <a:off x="9248" y="6238"/>
                            <a:ext cx="0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6245" y="6808"/>
                            <a:ext cx="6006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处分决定公告后，学生所在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  <w:lang w:eastAsia="zh-CN"/>
                                </w:rPr>
                                <w:t>学部</w:t>
                              </w: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应及时将处分决定通知学生本人及其家长，以便配合教育。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箭头连接符 16"/>
                        <wps:cNvCnPr>
                          <a:stCxn id="7" idx="2"/>
                        </wps:cNvCnPr>
                        <wps:spPr>
                          <a:xfrm>
                            <a:off x="9242" y="7558"/>
                            <a:ext cx="12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242" y="8136"/>
                            <a:ext cx="601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hAnsi="方正书宋_GBK" w:eastAsia="方正书宋_GBK" w:cs="方正书宋_GBK"/>
                                  <w:sz w:val="18"/>
                                  <w:szCs w:val="18"/>
                                </w:rPr>
                                <w:t>学生的处分材料应当真实、完整的归入学院文书档案和本人档案。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>
                          <a:stCxn id="7" idx="2"/>
                        </wps:cNvCnPr>
                        <wps:spPr>
                          <a:xfrm>
                            <a:off x="7219" y="6238"/>
                            <a:ext cx="0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>
                          <a:stCxn id="7" idx="2"/>
                        </wps:cNvCnPr>
                        <wps:spPr>
                          <a:xfrm>
                            <a:off x="11569" y="6238"/>
                            <a:ext cx="0" cy="5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4pt;margin-top:6.05pt;height:301.55pt;width:301.5pt;z-index:251659264;mso-width-relative:page;mso-height-relative:page;" coordorigin="6242,2581" coordsize="6030,6031" o:gfxdata="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">
                <o:lock v:ext="edit" aspectratio="f"/>
                <v:shape id="_x0000_s1026" o:spid="_x0000_s1026" o:spt="202" type="#_x0000_t202" style="position:absolute;left:7831;top:2581;height:451;width:283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学生违纪事实的初步认定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248;top:3050;height:510;width:0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7831;top:3561;height:451;width:2835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学生违纪事实的调查取证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248;top:4012;height:567;width:1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8552;top:4591;height:1617;width:2016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给予学生记过或留校察看处分的，由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  <w:lang w:eastAsia="zh-CN"/>
                          </w:rPr>
                          <w:t>学部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提出处理意见，经有关职能部门审议，报主管院领导签批后发文并公告。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387;top:4012;flip:x;height:567;width:1862;" filled="f" stroked="t" coordsize="21600,21600" o:gfxdata="UEsDBAoAAAAAAIdO4kAAAAAAAAAAAAAAAAAEAAAAZHJzL1BLAwQUAAAACACHTuJAi/28VL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6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28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249;top:4005;height:567;width:2271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51;top:4591;height:1617;width:2143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给予学生警告或严重警告处分的，由学生所在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  <w:lang w:eastAsia="zh-CN"/>
                          </w:rPr>
                          <w:t>学部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研究决定，并由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  <w:lang w:eastAsia="zh-CN"/>
                          </w:rPr>
                          <w:t>学部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出具处理决定文本，发文并公告，送学生工作处备案。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0766;top:4591;height:1617;width:1507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给予学生开除学籍处分的，由主管院领导提交院长会议研究决定，并报省教育厅备案。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248;top:6238;height:567;width: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45;top:6808;height:738;width:6006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处分决定公告后，学生所在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  <w:lang w:eastAsia="zh-CN"/>
                          </w:rPr>
                          <w:t>学部</w:t>
                        </w: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应及时将处分决定通知学生本人及其家长，以便配合教育。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242;top:7558;height:567;width:12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42;top:8136;height:476;width:6012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hAnsi="方正书宋_GBK" w:eastAsia="方正书宋_GBK" w:cs="方正书宋_GBK"/>
                            <w:sz w:val="18"/>
                            <w:szCs w:val="18"/>
                          </w:rPr>
                          <w:t>学生的处分材料应当真实、完整的归入学院文书档案和本人档案。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219;top:6238;height:567;width:0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569;top:6238;height:567;width:0;" filled="f" stroked="t" coordsize="21600,21600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pStyle w:val="5"/>
        <w:autoSpaceDE/>
        <w:autoSpaceDN/>
        <w:adjustRightInd/>
        <w:spacing w:line="310" w:lineRule="exact"/>
        <w:jc w:val="both"/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  <w:t>注意：</w:t>
      </w:r>
    </w:p>
    <w:p>
      <w:pPr>
        <w:pStyle w:val="5"/>
        <w:autoSpaceDE/>
        <w:autoSpaceDN/>
        <w:adjustRightInd/>
        <w:spacing w:line="310" w:lineRule="exact"/>
        <w:ind w:firstLine="408" w:firstLineChars="200"/>
        <w:jc w:val="both"/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  <w:t>在下列情况下，有关</w:t>
      </w:r>
      <w:r>
        <w:rPr>
          <w:rFonts w:hint="eastAsia" w:ascii="Times New Roman" w:hAnsi="Times New Roman" w:eastAsia="汉仪书宋一简" w:cs="Times New Roman"/>
          <w:color w:val="auto"/>
          <w:sz w:val="20"/>
          <w:szCs w:val="20"/>
          <w:lang w:eastAsia="zh-CN"/>
        </w:rPr>
        <w:t>学部</w:t>
      </w:r>
      <w:r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  <w:t>应分别会同相关部门处理：</w:t>
      </w:r>
    </w:p>
    <w:p>
      <w:pPr>
        <w:pStyle w:val="5"/>
        <w:autoSpaceDE/>
        <w:autoSpaceDN/>
        <w:adjustRightInd/>
        <w:spacing w:line="310" w:lineRule="exact"/>
        <w:ind w:firstLine="408" w:firstLineChars="200"/>
        <w:jc w:val="both"/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  <w:t>1</w:t>
      </w:r>
      <w:r>
        <w:rPr>
          <w:rFonts w:hint="default" w:ascii="Times New Roman" w:hAnsi="Times New Roman" w:eastAsia="汉仪书宋一简" w:cs="Times New Roman"/>
          <w:color w:val="auto"/>
          <w:sz w:val="20"/>
          <w:szCs w:val="20"/>
          <w:lang w:val="en-US"/>
        </w:rPr>
        <w:t>.</w:t>
      </w:r>
      <w:r>
        <w:rPr>
          <w:rFonts w:hint="default" w:ascii="Times New Roman" w:hAnsi="Times New Roman" w:eastAsia="汉仪书宋一简" w:cs="Times New Roman"/>
          <w:color w:val="auto"/>
          <w:sz w:val="20"/>
          <w:szCs w:val="20"/>
        </w:rPr>
        <w:t>学生违纪并违反治安管理处罚条例或涉嫌犯罪的，应会同保卫部门处理；</w:t>
      </w:r>
    </w:p>
    <w:p>
      <w:pPr>
        <w:pStyle w:val="6"/>
        <w:autoSpaceDE/>
        <w:autoSpaceDN/>
        <w:adjustRightInd/>
        <w:spacing w:line="31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default" w:ascii="Times New Roman" w:hAnsi="Times New Roman" w:cs="Times New Roman"/>
          <w:color w:val="auto"/>
          <w:lang w:val="en-US"/>
        </w:rPr>
        <w:t>.</w:t>
      </w:r>
      <w:r>
        <w:rPr>
          <w:rFonts w:hint="default" w:ascii="Times New Roman" w:hAnsi="Times New Roman" w:cs="Times New Roman"/>
          <w:color w:val="auto"/>
        </w:rPr>
        <w:t>学生违反学籍管理有关规定的，应会同教务部门处理；</w:t>
      </w:r>
    </w:p>
    <w:p>
      <w:pPr>
        <w:pStyle w:val="6"/>
        <w:autoSpaceDE/>
        <w:autoSpaceDN/>
        <w:adjustRightInd/>
        <w:spacing w:line="310" w:lineRule="exact"/>
        <w:rPr>
          <w:rFonts w:hint="default" w:ascii="Times New Roman" w:hAnsi="Times New Roman" w:cs="Times New Roman"/>
          <w:color w:val="auto"/>
        </w:rPr>
        <w:sectPr>
          <w:headerReference r:id="rId3" w:type="default"/>
          <w:pgSz w:w="8050" w:h="11906"/>
          <w:pgMar w:top="1134" w:right="1021" w:bottom="1134" w:left="1021" w:header="737" w:footer="992" w:gutter="0"/>
          <w:pgNumType w:fmt="numberInDash"/>
          <w:cols w:space="720" w:num="1"/>
          <w:rtlGutter w:val="0"/>
          <w:docGrid w:type="linesAndChars" w:linePitch="328" w:charSpace="936"/>
        </w:sectPr>
      </w:pPr>
      <w:r>
        <w:rPr>
          <w:rFonts w:hint="default" w:ascii="Times New Roman" w:hAnsi="Times New Roman" w:cs="Times New Roman"/>
          <w:color w:val="auto"/>
        </w:rPr>
        <w:t>3</w:t>
      </w:r>
      <w:r>
        <w:rPr>
          <w:rFonts w:hint="default" w:ascii="Times New Roman" w:hAnsi="Times New Roman" w:cs="Times New Roman"/>
          <w:color w:val="auto"/>
          <w:lang w:val="en-US"/>
        </w:rPr>
        <w:t>.</w:t>
      </w:r>
      <w:r>
        <w:rPr>
          <w:rFonts w:hint="default" w:ascii="Times New Roman" w:hAnsi="Times New Roman" w:cs="Times New Roman"/>
          <w:color w:val="auto"/>
        </w:rPr>
        <w:t>学生违纪并有涉外行为的，应会同外事有关部门处理。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500" w:lineRule="exact"/>
      <w:jc w:val="center"/>
      <w:textAlignment w:val="auto"/>
    </w:pPr>
    <w:r>
      <w:rPr>
        <w:rFonts w:hint="eastAsia" w:ascii="方正楷体_GBK" w:hAnsi="方正楷体_GBK" w:eastAsia="方正楷体_GBK" w:cs="方正楷体_GBK"/>
        <w:sz w:val="21"/>
        <w:szCs w:val="21"/>
        <w:lang w:val="en-US" w:eastAsia="zh-CN"/>
      </w:rPr>
      <w:drawing>
        <wp:inline distT="0" distB="0" distL="114300" distR="114300">
          <wp:extent cx="1892935" cy="179705"/>
          <wp:effectExtent l="0" t="0" r="12065" b="10795"/>
          <wp:docPr id="3" name="图片 3" descr="学生手册LOGO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生手册LOGO页眉"/>
                  <pic:cNvPicPr>
                    <a:picLocks noChangeAspect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方正楷体_GBK" w:hAnsi="方正楷体_GBK" w:eastAsia="方正楷体_GBK" w:cs="方正楷体_GBK"/>
        <w:sz w:val="21"/>
        <w:szCs w:val="21"/>
        <w:lang w:val="en-US" w:eastAsia="zh-CN"/>
      </w:rPr>
      <w:t xml:space="preserve">          学生违纪处分流程图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83987"/>
    <w:rsid w:val="543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段落样式1"/>
    <w:basedOn w:val="1"/>
    <w:qFormat/>
    <w:uiPriority w:val="0"/>
    <w:pPr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rFonts w:ascii="方正大标宋简体" w:eastAsia="方正大标宋简体" w:cs="方正大标宋简体"/>
      <w:color w:val="000000"/>
      <w:kern w:val="0"/>
      <w:sz w:val="36"/>
      <w:szCs w:val="36"/>
      <w:lang w:val="zh-CN"/>
    </w:rPr>
  </w:style>
  <w:style w:type="paragraph" w:customStyle="1" w:styleId="6">
    <w:name w:val="段落样式3"/>
    <w:basedOn w:val="1"/>
    <w:qFormat/>
    <w:uiPriority w:val="0"/>
    <w:pPr>
      <w:suppressAutoHyphens/>
      <w:autoSpaceDE w:val="0"/>
      <w:autoSpaceDN w:val="0"/>
      <w:adjustRightInd w:val="0"/>
      <w:spacing w:line="320" w:lineRule="atLeast"/>
      <w:ind w:firstLine="397"/>
      <w:textAlignment w:val="center"/>
    </w:pPr>
    <w:rPr>
      <w:rFonts w:ascii="汉仪书宋一简" w:eastAsia="汉仪书宋一简" w:cs="汉仪书宋一简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2020-09-25T09:04:00Z</dcterms:created>
  <dc:creator>Kiki</dc:creator>
  <cp:lastModifiedBy>Kiki</cp:lastModifiedBy>
  <dcterms:modified xsi:type="dcterms:W3CDTF">2020-09-25T09:05:41Z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