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0"/>
        </w:tabs>
        <w:spacing w:line="360" w:lineRule="auto"/>
        <w:ind w:firstLine="241" w:firstLineChars="100"/>
        <w:rPr>
          <w:rFonts w:hint="eastAsia" w:ascii="宋体" w:hAnsi="宋体" w:eastAsia="宋体" w:cs="宋体"/>
          <w:b/>
          <w:sz w:val="24"/>
          <w:szCs w:val="24"/>
          <w:lang w:eastAsia="zh-CN"/>
        </w:rPr>
      </w:pPr>
      <w:r>
        <w:rPr>
          <w:rFonts w:hint="eastAsia" w:ascii="宋体" w:hAnsi="宋体" w:cs="宋体"/>
          <w:b/>
          <w:sz w:val="24"/>
          <w:szCs w:val="24"/>
          <w:lang w:eastAsia="zh-CN"/>
        </w:rPr>
        <w:t>附件：</w:t>
      </w:r>
    </w:p>
    <w:p>
      <w:pPr>
        <w:tabs>
          <w:tab w:val="left" w:pos="180"/>
        </w:tabs>
        <w:spacing w:line="360" w:lineRule="auto"/>
        <w:ind w:firstLine="241" w:firstLineChars="100"/>
        <w:jc w:val="center"/>
        <w:rPr>
          <w:rFonts w:hint="eastAsia" w:ascii="宋体" w:hAnsi="宋体" w:eastAsia="宋体" w:cs="宋体"/>
          <w:b/>
          <w:bCs/>
          <w:sz w:val="24"/>
          <w:szCs w:val="24"/>
          <w:lang w:eastAsia="zh-CN"/>
        </w:rPr>
      </w:pPr>
      <w:r>
        <w:rPr>
          <w:rFonts w:hint="eastAsia" w:ascii="宋体" w:hAnsi="宋体" w:eastAsia="宋体" w:cs="宋体"/>
          <w:b/>
          <w:sz w:val="24"/>
          <w:szCs w:val="24"/>
        </w:rPr>
        <w:t>广播系统设备及多</w:t>
      </w:r>
      <w:r>
        <w:rPr>
          <w:rFonts w:hint="eastAsia" w:ascii="宋体" w:hAnsi="宋体" w:eastAsia="宋体" w:cs="宋体"/>
          <w:b/>
          <w:bCs/>
          <w:sz w:val="24"/>
          <w:szCs w:val="24"/>
        </w:rPr>
        <w:t>媒体设备</w:t>
      </w:r>
      <w:r>
        <w:rPr>
          <w:rFonts w:hint="eastAsia" w:ascii="宋体" w:hAnsi="宋体" w:cs="宋体"/>
          <w:b/>
          <w:bCs/>
          <w:sz w:val="24"/>
          <w:szCs w:val="24"/>
          <w:lang w:eastAsia="zh-CN"/>
        </w:rPr>
        <w:t>采购清单</w:t>
      </w:r>
    </w:p>
    <w:p>
      <w:pPr>
        <w:tabs>
          <w:tab w:val="left" w:pos="180"/>
        </w:tabs>
        <w:spacing w:line="360" w:lineRule="auto"/>
        <w:ind w:firstLine="210" w:firstLineChars="100"/>
        <w:rPr>
          <w:szCs w:val="21"/>
        </w:rPr>
      </w:pPr>
      <w:r>
        <w:rPr>
          <w:rFonts w:hint="eastAsia"/>
          <w:szCs w:val="21"/>
        </w:rPr>
        <w:t>多媒体设备安装及调配，一共需要设施配置如下(★号部分为实质性要求和条件）：</w:t>
      </w:r>
    </w:p>
    <w:tbl>
      <w:tblPr>
        <w:tblStyle w:val="5"/>
        <w:tblW w:w="148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7088"/>
        <w:gridCol w:w="992"/>
        <w:gridCol w:w="241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trPr>
        <w:tc>
          <w:tcPr>
            <w:tcW w:w="709" w:type="dxa"/>
            <w:vAlign w:val="center"/>
          </w:tcPr>
          <w:p>
            <w:pPr>
              <w:jc w:val="center"/>
              <w:rPr>
                <w:sz w:val="24"/>
              </w:rPr>
            </w:pPr>
            <w:r>
              <w:rPr>
                <w:rFonts w:hint="eastAsia"/>
                <w:sz w:val="24"/>
              </w:rPr>
              <w:t>编号</w:t>
            </w:r>
          </w:p>
        </w:tc>
        <w:tc>
          <w:tcPr>
            <w:tcW w:w="1276" w:type="dxa"/>
            <w:vAlign w:val="center"/>
          </w:tcPr>
          <w:p>
            <w:pPr>
              <w:jc w:val="center"/>
              <w:rPr>
                <w:sz w:val="24"/>
              </w:rPr>
            </w:pPr>
            <w:r>
              <w:rPr>
                <w:rFonts w:hint="eastAsia"/>
                <w:sz w:val="24"/>
              </w:rPr>
              <w:t>项目名称</w:t>
            </w:r>
          </w:p>
        </w:tc>
        <w:tc>
          <w:tcPr>
            <w:tcW w:w="7088" w:type="dxa"/>
            <w:vAlign w:val="center"/>
          </w:tcPr>
          <w:p>
            <w:pPr>
              <w:jc w:val="center"/>
              <w:rPr>
                <w:sz w:val="24"/>
              </w:rPr>
            </w:pPr>
            <w:r>
              <w:rPr>
                <w:rFonts w:hint="eastAsia"/>
                <w:sz w:val="24"/>
              </w:rPr>
              <w:t>规格要求</w:t>
            </w:r>
          </w:p>
        </w:tc>
        <w:tc>
          <w:tcPr>
            <w:tcW w:w="992" w:type="dxa"/>
            <w:vAlign w:val="center"/>
          </w:tcPr>
          <w:p>
            <w:pPr>
              <w:jc w:val="center"/>
              <w:rPr>
                <w:sz w:val="24"/>
              </w:rPr>
            </w:pPr>
            <w:r>
              <w:rPr>
                <w:rFonts w:hint="eastAsia"/>
                <w:sz w:val="24"/>
              </w:rPr>
              <w:t>数量</w:t>
            </w:r>
          </w:p>
        </w:tc>
        <w:tc>
          <w:tcPr>
            <w:tcW w:w="2410" w:type="dxa"/>
            <w:vAlign w:val="center"/>
          </w:tcPr>
          <w:p>
            <w:pPr>
              <w:jc w:val="center"/>
              <w:rPr>
                <w:rFonts w:hint="eastAsia"/>
                <w:sz w:val="24"/>
              </w:rPr>
            </w:pPr>
            <w:r>
              <w:rPr>
                <w:rFonts w:hint="eastAsia"/>
                <w:sz w:val="24"/>
              </w:rPr>
              <w:t>推荐品牌</w:t>
            </w:r>
          </w:p>
        </w:tc>
        <w:tc>
          <w:tcPr>
            <w:tcW w:w="2410" w:type="dxa"/>
          </w:tcPr>
          <w:p>
            <w:pPr>
              <w:jc w:val="center"/>
              <w:rPr>
                <w:rFonts w:hint="eastAsia"/>
                <w:sz w:val="24"/>
              </w:rPr>
            </w:pPr>
            <w:r>
              <w:rPr>
                <w:rFonts w:hint="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9" w:hRule="atLeast"/>
        </w:trPr>
        <w:tc>
          <w:tcPr>
            <w:tcW w:w="10065" w:type="dxa"/>
            <w:gridSpan w:val="4"/>
            <w:tcBorders>
              <w:bottom w:val="single" w:color="auto" w:sz="4" w:space="0"/>
            </w:tcBorders>
            <w:vAlign w:val="center"/>
          </w:tcPr>
          <w:p>
            <w:pPr>
              <w:rPr>
                <w:szCs w:val="21"/>
              </w:rPr>
            </w:pPr>
            <w:r>
              <w:rPr>
                <w:rFonts w:hint="eastAsia"/>
                <w:sz w:val="28"/>
                <w:szCs w:val="28"/>
              </w:rPr>
              <w:t>一</w:t>
            </w:r>
            <w:r>
              <w:rPr>
                <w:sz w:val="28"/>
                <w:szCs w:val="28"/>
              </w:rPr>
              <w:t>、多媒体部分</w:t>
            </w:r>
          </w:p>
        </w:tc>
        <w:tc>
          <w:tcPr>
            <w:tcW w:w="2410" w:type="dxa"/>
            <w:tcBorders>
              <w:bottom w:val="single" w:color="auto" w:sz="4" w:space="0"/>
            </w:tcBorders>
            <w:vAlign w:val="center"/>
          </w:tcPr>
          <w:p>
            <w:pPr>
              <w:rPr>
                <w:rFonts w:hint="eastAsia"/>
                <w:sz w:val="28"/>
                <w:szCs w:val="28"/>
              </w:rPr>
            </w:pPr>
          </w:p>
        </w:tc>
        <w:tc>
          <w:tcPr>
            <w:tcW w:w="2410" w:type="dxa"/>
            <w:tcBorders>
              <w:bottom w:val="single" w:color="auto" w:sz="4" w:space="0"/>
            </w:tcBorders>
          </w:tcPr>
          <w:p>
            <w:pPr>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9" w:hRule="atLeast"/>
        </w:trPr>
        <w:tc>
          <w:tcPr>
            <w:tcW w:w="709" w:type="dxa"/>
            <w:tcBorders>
              <w:bottom w:val="single" w:color="auto" w:sz="4" w:space="0"/>
            </w:tcBorders>
            <w:vAlign w:val="center"/>
          </w:tcPr>
          <w:p>
            <w:pPr>
              <w:rPr>
                <w:sz w:val="24"/>
              </w:rPr>
            </w:pPr>
          </w:p>
        </w:tc>
        <w:tc>
          <w:tcPr>
            <w:tcW w:w="1276" w:type="dxa"/>
            <w:tcBorders>
              <w:bottom w:val="single" w:color="auto" w:sz="4" w:space="0"/>
            </w:tcBorders>
            <w:vAlign w:val="center"/>
          </w:tcPr>
          <w:p>
            <w:pPr>
              <w:rPr>
                <w:sz w:val="24"/>
              </w:rPr>
            </w:pPr>
            <w:r>
              <w:rPr>
                <w:rFonts w:hint="eastAsia"/>
                <w:sz w:val="24"/>
              </w:rPr>
              <w:t>投影机</w:t>
            </w:r>
          </w:p>
        </w:tc>
        <w:tc>
          <w:tcPr>
            <w:tcW w:w="7088" w:type="dxa"/>
            <w:tcBorders>
              <w:bottom w:val="single" w:color="auto" w:sz="4" w:space="0"/>
            </w:tcBorders>
            <w:vAlign w:val="center"/>
          </w:tcPr>
          <w:p>
            <w:pPr>
              <w:rPr>
                <w:sz w:val="24"/>
              </w:rPr>
            </w:pPr>
            <w:r>
              <w:rPr>
                <w:rFonts w:hint="eastAsia"/>
                <w:sz w:val="24"/>
              </w:rPr>
              <w:t>★知名投影机品牌，</w:t>
            </w:r>
            <w:r>
              <w:rPr>
                <w:rFonts w:hint="eastAsia" w:ascii="宋体" w:hAnsi="宋体" w:cs="Arial"/>
                <w:color w:val="000000"/>
                <w:sz w:val="24"/>
              </w:rPr>
              <w:t>不接受OEM产品投标。</w:t>
            </w:r>
          </w:p>
          <w:p>
            <w:pPr>
              <w:rPr>
                <w:sz w:val="24"/>
              </w:rPr>
            </w:pPr>
            <w:r>
              <w:rPr>
                <w:rFonts w:hint="eastAsia"/>
                <w:sz w:val="24"/>
              </w:rPr>
              <w:t>★</w:t>
            </w:r>
            <w:r>
              <w:rPr>
                <w:rFonts w:hint="eastAsia" w:ascii="宋体" w:hAnsi="宋体"/>
                <w:sz w:val="24"/>
              </w:rPr>
              <w:t>1.LCD液晶投影机，</w:t>
            </w:r>
            <w:r>
              <w:rPr>
                <w:rFonts w:hint="eastAsia"/>
                <w:sz w:val="24"/>
              </w:rPr>
              <w:t>亮度 ≥</w:t>
            </w:r>
            <w:r>
              <w:rPr>
                <w:sz w:val="24"/>
              </w:rPr>
              <w:t>36</w:t>
            </w:r>
            <w:r>
              <w:rPr>
                <w:rFonts w:hint="eastAsia"/>
                <w:sz w:val="24"/>
              </w:rPr>
              <w:t>00流明；分辨率 1024*768；</w:t>
            </w:r>
          </w:p>
          <w:p>
            <w:pPr>
              <w:rPr>
                <w:sz w:val="24"/>
              </w:rPr>
            </w:pPr>
            <w:r>
              <w:rPr>
                <w:rFonts w:hint="eastAsia"/>
                <w:sz w:val="24"/>
              </w:rPr>
              <w:t>★</w:t>
            </w:r>
            <w:r>
              <w:rPr>
                <w:rFonts w:hint="eastAsia" w:ascii="宋体" w:hAnsi="宋体"/>
                <w:sz w:val="24"/>
              </w:rPr>
              <w:t>2.</w:t>
            </w:r>
            <w:r>
              <w:rPr>
                <w:rFonts w:hint="eastAsia"/>
                <w:sz w:val="24"/>
              </w:rPr>
              <w:t>对比度≥2000：1；</w:t>
            </w:r>
            <w:r>
              <w:rPr>
                <w:sz w:val="24"/>
              </w:rPr>
              <w:t>镜头变焦比：</w:t>
            </w:r>
            <w:r>
              <w:rPr>
                <w:rFonts w:hint="eastAsia"/>
                <w:sz w:val="24"/>
              </w:rPr>
              <w:t>1.7倍；</w:t>
            </w:r>
          </w:p>
          <w:p>
            <w:pPr>
              <w:rPr>
                <w:sz w:val="24"/>
              </w:rPr>
            </w:pPr>
            <w:r>
              <w:rPr>
                <w:rFonts w:hint="eastAsia"/>
                <w:sz w:val="24"/>
              </w:rPr>
              <w:t>★</w:t>
            </w:r>
            <w:r>
              <w:rPr>
                <w:rFonts w:hint="eastAsia" w:ascii="宋体" w:hAnsi="宋体"/>
                <w:sz w:val="24"/>
              </w:rPr>
              <w:t>3.</w:t>
            </w:r>
            <w:r>
              <w:rPr>
                <w:rFonts w:hint="eastAsia"/>
                <w:sz w:val="24"/>
              </w:rPr>
              <w:t>灯泡功率≥200W，灯泡寿命≥5000小时（节能模式)；</w:t>
            </w:r>
          </w:p>
          <w:p>
            <w:pPr>
              <w:rPr>
                <w:sz w:val="24"/>
              </w:rPr>
            </w:pPr>
            <w:r>
              <w:rPr>
                <w:rFonts w:hint="eastAsia" w:ascii="宋体" w:hAnsi="宋体"/>
                <w:sz w:val="24"/>
              </w:rPr>
              <w:t>4、</w:t>
            </w:r>
            <w:r>
              <w:rPr>
                <w:rFonts w:hint="eastAsia"/>
                <w:sz w:val="24"/>
              </w:rPr>
              <w:t>接口：VGA输入输出接口，RGB输入输出接口，视频输入端口，USB接口，HDMI接口、RJ-45网络接口，RS232；</w:t>
            </w:r>
          </w:p>
          <w:p>
            <w:pPr>
              <w:rPr>
                <w:sz w:val="24"/>
              </w:rPr>
            </w:pPr>
            <w:r>
              <w:rPr>
                <w:rFonts w:hint="eastAsia"/>
                <w:sz w:val="24"/>
              </w:rPr>
              <w:t>★</w:t>
            </w:r>
            <w:r>
              <w:rPr>
                <w:rFonts w:hint="eastAsia" w:ascii="宋体" w:hAnsi="宋体"/>
                <w:sz w:val="24"/>
              </w:rPr>
              <w:t>5.</w:t>
            </w:r>
            <w:r>
              <w:rPr>
                <w:rFonts w:hint="eastAsia"/>
                <w:sz w:val="24"/>
              </w:rPr>
              <w:t>具有断电保护直接关机功能，采用独有热断电保护系统，在意外操作或突然断电的情况下保证投影机不受损坏；</w:t>
            </w:r>
          </w:p>
          <w:p>
            <w:pPr>
              <w:rPr>
                <w:sz w:val="24"/>
              </w:rPr>
            </w:pPr>
            <w:r>
              <w:rPr>
                <w:rFonts w:hint="eastAsia"/>
                <w:sz w:val="24"/>
              </w:rPr>
              <w:t>★</w:t>
            </w:r>
            <w:r>
              <w:rPr>
                <w:rFonts w:hint="eastAsia" w:ascii="宋体" w:hAnsi="宋体"/>
                <w:sz w:val="24"/>
              </w:rPr>
              <w:t>6.</w:t>
            </w:r>
            <w:r>
              <w:rPr>
                <w:rFonts w:hint="eastAsia"/>
                <w:sz w:val="24"/>
              </w:rPr>
              <w:t>有智能节电功能，镜头可移动，带边角校正功能；</w:t>
            </w:r>
          </w:p>
          <w:p>
            <w:pPr>
              <w:rPr>
                <w:sz w:val="24"/>
              </w:rPr>
            </w:pPr>
            <w:r>
              <w:rPr>
                <w:rFonts w:hint="eastAsia"/>
                <w:sz w:val="24"/>
              </w:rPr>
              <w:t>投标时须提供：</w:t>
            </w:r>
          </w:p>
          <w:p>
            <w:pPr>
              <w:rPr>
                <w:sz w:val="24"/>
              </w:rPr>
            </w:pPr>
            <w:r>
              <w:rPr>
                <w:rFonts w:hint="eastAsia"/>
                <w:sz w:val="24"/>
              </w:rPr>
              <w:t>★提供设备制造商针对此项目的整机3年（含灯泡1年）授权和质保函。</w:t>
            </w:r>
          </w:p>
        </w:tc>
        <w:tc>
          <w:tcPr>
            <w:tcW w:w="992" w:type="dxa"/>
            <w:tcBorders>
              <w:bottom w:val="single" w:color="auto" w:sz="4" w:space="0"/>
            </w:tcBorders>
            <w:vAlign w:val="center"/>
          </w:tcPr>
          <w:p>
            <w:pPr>
              <w:rPr>
                <w:szCs w:val="21"/>
              </w:rPr>
            </w:pPr>
          </w:p>
        </w:tc>
        <w:tc>
          <w:tcPr>
            <w:tcW w:w="2410" w:type="dxa"/>
            <w:tcBorders>
              <w:bottom w:val="single" w:color="auto" w:sz="4" w:space="0"/>
            </w:tcBorders>
            <w:vAlign w:val="center"/>
          </w:tcPr>
          <w:p>
            <w:pPr>
              <w:rPr>
                <w:szCs w:val="21"/>
              </w:rPr>
            </w:pPr>
            <w:r>
              <w:rPr>
                <w:rFonts w:hint="eastAsia"/>
                <w:sz w:val="24"/>
              </w:rPr>
              <w:t>日立、东芝、松下、NEC、SONY</w:t>
            </w:r>
          </w:p>
        </w:tc>
        <w:tc>
          <w:tcPr>
            <w:tcW w:w="2410" w:type="dxa"/>
            <w:tcBorders>
              <w:bottom w:val="single" w:color="auto" w:sz="4" w:space="0"/>
            </w:tcBorders>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0" w:hRule="atLeast"/>
        </w:trPr>
        <w:tc>
          <w:tcPr>
            <w:tcW w:w="709" w:type="dxa"/>
            <w:tcBorders>
              <w:top w:val="single" w:color="auto" w:sz="4" w:space="0"/>
            </w:tcBorders>
            <w:vAlign w:val="center"/>
          </w:tcPr>
          <w:p>
            <w:pPr>
              <w:rPr>
                <w:sz w:val="24"/>
              </w:rPr>
            </w:pPr>
          </w:p>
        </w:tc>
        <w:tc>
          <w:tcPr>
            <w:tcW w:w="1276" w:type="dxa"/>
            <w:tcBorders>
              <w:top w:val="single" w:color="auto" w:sz="4" w:space="0"/>
            </w:tcBorders>
            <w:vAlign w:val="center"/>
          </w:tcPr>
          <w:p>
            <w:pPr>
              <w:rPr>
                <w:sz w:val="24"/>
              </w:rPr>
            </w:pPr>
            <w:r>
              <w:rPr>
                <w:rFonts w:hint="eastAsia"/>
                <w:sz w:val="24"/>
              </w:rPr>
              <w:t>吊杆及幕布</w:t>
            </w:r>
          </w:p>
        </w:tc>
        <w:tc>
          <w:tcPr>
            <w:tcW w:w="7088" w:type="dxa"/>
            <w:tcBorders>
              <w:top w:val="single" w:color="auto" w:sz="4" w:space="0"/>
            </w:tcBorders>
            <w:vAlign w:val="center"/>
          </w:tcPr>
          <w:p>
            <w:pPr>
              <w:rPr>
                <w:sz w:val="24"/>
              </w:rPr>
            </w:pPr>
            <w:r>
              <w:rPr>
                <w:rFonts w:hint="eastAsia"/>
                <w:sz w:val="24"/>
              </w:rPr>
              <w:t>投影机配套国标吊杆及120寸电动幕布，尺寸比例4：3</w:t>
            </w:r>
          </w:p>
        </w:tc>
        <w:tc>
          <w:tcPr>
            <w:tcW w:w="992" w:type="dxa"/>
            <w:tcBorders>
              <w:top w:val="single" w:color="auto" w:sz="4" w:space="0"/>
            </w:tcBorders>
            <w:vAlign w:val="center"/>
          </w:tcPr>
          <w:p>
            <w:pPr>
              <w:rPr>
                <w:szCs w:val="21"/>
              </w:rPr>
            </w:pPr>
          </w:p>
        </w:tc>
        <w:tc>
          <w:tcPr>
            <w:tcW w:w="2410" w:type="dxa"/>
            <w:tcBorders>
              <w:top w:val="single" w:color="auto" w:sz="4" w:space="0"/>
            </w:tcBorders>
            <w:vAlign w:val="center"/>
          </w:tcPr>
          <w:p>
            <w:pPr>
              <w:rPr>
                <w:rFonts w:hint="eastAsia"/>
                <w:szCs w:val="21"/>
              </w:rPr>
            </w:pPr>
          </w:p>
        </w:tc>
        <w:tc>
          <w:tcPr>
            <w:tcW w:w="2410" w:type="dxa"/>
            <w:tcBorders>
              <w:top w:val="single" w:color="auto" w:sz="4" w:space="0"/>
            </w:tcBorders>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5" w:hRule="atLeast"/>
        </w:trPr>
        <w:tc>
          <w:tcPr>
            <w:tcW w:w="709" w:type="dxa"/>
            <w:vAlign w:val="center"/>
          </w:tcPr>
          <w:p>
            <w:pPr>
              <w:rPr>
                <w:sz w:val="24"/>
              </w:rPr>
            </w:pPr>
          </w:p>
        </w:tc>
        <w:tc>
          <w:tcPr>
            <w:tcW w:w="1276" w:type="dxa"/>
            <w:vAlign w:val="center"/>
          </w:tcPr>
          <w:p>
            <w:pPr>
              <w:rPr>
                <w:rFonts w:ascii="宋体" w:hAnsi="宋体"/>
                <w:sz w:val="24"/>
              </w:rPr>
            </w:pPr>
            <w:r>
              <w:rPr>
                <w:rFonts w:hint="eastAsia" w:ascii="宋体" w:hAnsi="宋体"/>
                <w:sz w:val="24"/>
              </w:rPr>
              <w:t>VGA分配器</w:t>
            </w:r>
          </w:p>
        </w:tc>
        <w:tc>
          <w:tcPr>
            <w:tcW w:w="7088" w:type="dxa"/>
            <w:vAlign w:val="center"/>
          </w:tcPr>
          <w:p>
            <w:pPr>
              <w:numPr>
                <w:ilvl w:val="0"/>
                <w:numId w:val="1"/>
              </w:numPr>
              <w:rPr>
                <w:rFonts w:ascii="宋体" w:hAnsi="宋体"/>
                <w:sz w:val="24"/>
              </w:rPr>
            </w:pPr>
            <w:r>
              <w:rPr>
                <w:rFonts w:ascii="宋体" w:hAnsi="宋体"/>
                <w:sz w:val="24"/>
              </w:rPr>
              <w:t>一进</w:t>
            </w:r>
            <w:r>
              <w:rPr>
                <w:rFonts w:hint="eastAsia" w:ascii="宋体" w:hAnsi="宋体"/>
                <w:sz w:val="24"/>
              </w:rPr>
              <w:t>二</w:t>
            </w:r>
            <w:r>
              <w:rPr>
                <w:rFonts w:ascii="宋体" w:hAnsi="宋体"/>
                <w:sz w:val="24"/>
              </w:rPr>
              <w:t>出</w:t>
            </w:r>
            <w:r>
              <w:rPr>
                <w:rFonts w:hint="eastAsia" w:ascii="宋体" w:hAnsi="宋体"/>
                <w:sz w:val="24"/>
              </w:rPr>
              <w:t>VGA视频</w:t>
            </w:r>
            <w:r>
              <w:rPr>
                <w:rFonts w:ascii="宋体" w:hAnsi="宋体"/>
                <w:sz w:val="24"/>
              </w:rPr>
              <w:t>分配器</w:t>
            </w:r>
            <w:r>
              <w:rPr>
                <w:rFonts w:hint="eastAsia" w:ascii="宋体" w:hAnsi="宋体"/>
                <w:sz w:val="24"/>
              </w:rPr>
              <w:t>；</w:t>
            </w:r>
          </w:p>
          <w:p>
            <w:pPr>
              <w:numPr>
                <w:ilvl w:val="0"/>
                <w:numId w:val="1"/>
              </w:numPr>
              <w:rPr>
                <w:rFonts w:ascii="宋体" w:hAnsi="宋体"/>
                <w:sz w:val="24"/>
              </w:rPr>
            </w:pPr>
            <w:r>
              <w:rPr>
                <w:rFonts w:hint="eastAsia" w:ascii="宋体" w:hAnsi="宋体"/>
                <w:sz w:val="24"/>
              </w:rPr>
              <w:t>支持150MHZ及1920*1440分辨率。</w:t>
            </w:r>
          </w:p>
        </w:tc>
        <w:tc>
          <w:tcPr>
            <w:tcW w:w="992" w:type="dxa"/>
            <w:vAlign w:val="center"/>
          </w:tcPr>
          <w:p>
            <w:pPr>
              <w:rPr>
                <w:szCs w:val="21"/>
              </w:rPr>
            </w:pPr>
          </w:p>
        </w:tc>
        <w:tc>
          <w:tcPr>
            <w:tcW w:w="2410" w:type="dxa"/>
            <w:vAlign w:val="center"/>
          </w:tcPr>
          <w:p>
            <w:pPr>
              <w:rPr>
                <w:szCs w:val="21"/>
              </w:rPr>
            </w:pPr>
          </w:p>
        </w:tc>
        <w:tc>
          <w:tcPr>
            <w:tcW w:w="2410"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8" w:hRule="atLeast"/>
        </w:trPr>
        <w:tc>
          <w:tcPr>
            <w:tcW w:w="709" w:type="dxa"/>
            <w:tcBorders>
              <w:bottom w:val="single" w:color="auto" w:sz="4" w:space="0"/>
            </w:tcBorders>
            <w:vAlign w:val="center"/>
          </w:tcPr>
          <w:p>
            <w:pPr>
              <w:rPr>
                <w:sz w:val="24"/>
              </w:rPr>
            </w:pPr>
          </w:p>
        </w:tc>
        <w:tc>
          <w:tcPr>
            <w:tcW w:w="1276" w:type="dxa"/>
            <w:tcBorders>
              <w:bottom w:val="single" w:color="auto" w:sz="4" w:space="0"/>
            </w:tcBorders>
            <w:vAlign w:val="center"/>
          </w:tcPr>
          <w:p>
            <w:pPr>
              <w:rPr>
                <w:sz w:val="24"/>
              </w:rPr>
            </w:pPr>
            <w:r>
              <w:rPr>
                <w:rFonts w:hint="eastAsia"/>
                <w:sz w:val="24"/>
              </w:rPr>
              <w:t>接线板</w:t>
            </w:r>
          </w:p>
        </w:tc>
        <w:tc>
          <w:tcPr>
            <w:tcW w:w="7088" w:type="dxa"/>
            <w:tcBorders>
              <w:bottom w:val="single" w:color="auto" w:sz="4" w:space="0"/>
            </w:tcBorders>
            <w:vAlign w:val="center"/>
          </w:tcPr>
          <w:p>
            <w:pPr>
              <w:rPr>
                <w:rFonts w:ascii="宋体"/>
                <w:color w:val="000000"/>
                <w:kern w:val="0"/>
                <w:sz w:val="24"/>
              </w:rPr>
            </w:pPr>
            <w:r>
              <w:rPr>
                <w:rFonts w:hint="eastAsia" w:ascii="宋体" w:hAnsi="宋体"/>
                <w:color w:val="000000"/>
                <w:kern w:val="0"/>
                <w:sz w:val="24"/>
              </w:rPr>
              <w:t>1.通过国家3C产品认证；</w:t>
            </w:r>
          </w:p>
          <w:p>
            <w:pPr>
              <w:rPr>
                <w:rFonts w:ascii="宋体"/>
                <w:color w:val="000000"/>
                <w:kern w:val="0"/>
                <w:sz w:val="24"/>
              </w:rPr>
            </w:pPr>
            <w:r>
              <w:rPr>
                <w:rFonts w:hint="eastAsia" w:ascii="宋体" w:hAnsi="宋体"/>
                <w:color w:val="000000"/>
                <w:kern w:val="0"/>
                <w:sz w:val="24"/>
              </w:rPr>
              <w:t>2.连接件及插套采用一体成型铜条连接技术，导电强，发热小，寿命长；</w:t>
            </w:r>
          </w:p>
          <w:p>
            <w:pPr>
              <w:rPr>
                <w:rFonts w:ascii="宋体"/>
                <w:color w:val="000000"/>
                <w:kern w:val="0"/>
                <w:sz w:val="24"/>
              </w:rPr>
            </w:pPr>
            <w:r>
              <w:rPr>
                <w:rFonts w:hint="eastAsia" w:ascii="宋体" w:hAnsi="宋体"/>
                <w:color w:val="000000"/>
                <w:kern w:val="0"/>
                <w:sz w:val="24"/>
              </w:rPr>
              <w:t>3.插孔类型：支持两足、三足插座；</w:t>
            </w:r>
          </w:p>
          <w:p>
            <w:pPr>
              <w:rPr>
                <w:rFonts w:ascii="宋体" w:hAnsi="宋体"/>
                <w:sz w:val="24"/>
              </w:rPr>
            </w:pPr>
            <w:r>
              <w:rPr>
                <w:rFonts w:hint="eastAsia" w:ascii="宋体" w:hAnsi="宋体"/>
                <w:color w:val="000000"/>
                <w:kern w:val="0"/>
                <w:sz w:val="24"/>
              </w:rPr>
              <w:t>4</w:t>
            </w:r>
            <w:r>
              <w:rPr>
                <w:rFonts w:hint="eastAsia" w:ascii="宋体"/>
                <w:color w:val="000000"/>
                <w:kern w:val="0"/>
                <w:sz w:val="24"/>
              </w:rPr>
              <w:t>.</w:t>
            </w:r>
            <w:r>
              <w:rPr>
                <w:rFonts w:hint="eastAsia" w:ascii="宋体" w:hAnsi="宋体"/>
                <w:color w:val="000000"/>
                <w:kern w:val="0"/>
                <w:sz w:val="24"/>
              </w:rPr>
              <w:t>孔位数量：10孔。</w:t>
            </w:r>
          </w:p>
        </w:tc>
        <w:tc>
          <w:tcPr>
            <w:tcW w:w="992" w:type="dxa"/>
            <w:tcBorders>
              <w:bottom w:val="single" w:color="auto" w:sz="4" w:space="0"/>
            </w:tcBorders>
            <w:vAlign w:val="center"/>
          </w:tcPr>
          <w:p>
            <w:pPr>
              <w:rPr>
                <w:szCs w:val="21"/>
              </w:rPr>
            </w:pPr>
          </w:p>
        </w:tc>
        <w:tc>
          <w:tcPr>
            <w:tcW w:w="2410" w:type="dxa"/>
            <w:tcBorders>
              <w:bottom w:val="single" w:color="auto" w:sz="4" w:space="0"/>
            </w:tcBorders>
            <w:vAlign w:val="center"/>
          </w:tcPr>
          <w:p>
            <w:pPr>
              <w:rPr>
                <w:szCs w:val="21"/>
              </w:rPr>
            </w:pPr>
          </w:p>
        </w:tc>
        <w:tc>
          <w:tcPr>
            <w:tcW w:w="2410" w:type="dxa"/>
            <w:tcBorders>
              <w:bottom w:val="single" w:color="auto" w:sz="4"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8" w:hRule="atLeast"/>
        </w:trPr>
        <w:tc>
          <w:tcPr>
            <w:tcW w:w="709" w:type="dxa"/>
            <w:tcBorders>
              <w:bottom w:val="single" w:color="auto" w:sz="4" w:space="0"/>
            </w:tcBorders>
            <w:vAlign w:val="center"/>
          </w:tcPr>
          <w:p>
            <w:pPr>
              <w:rPr>
                <w:sz w:val="24"/>
              </w:rPr>
            </w:pPr>
          </w:p>
        </w:tc>
        <w:tc>
          <w:tcPr>
            <w:tcW w:w="1276" w:type="dxa"/>
            <w:tcBorders>
              <w:bottom w:val="single" w:color="auto" w:sz="4" w:space="0"/>
            </w:tcBorders>
            <w:vAlign w:val="center"/>
          </w:tcPr>
          <w:p>
            <w:pPr>
              <w:rPr>
                <w:sz w:val="24"/>
              </w:rPr>
            </w:pPr>
            <w:r>
              <w:rPr>
                <w:rFonts w:hint="eastAsia"/>
                <w:sz w:val="24"/>
              </w:rPr>
              <w:t>综合布线</w:t>
            </w:r>
          </w:p>
        </w:tc>
        <w:tc>
          <w:tcPr>
            <w:tcW w:w="7088" w:type="dxa"/>
            <w:tcBorders>
              <w:bottom w:val="single" w:color="auto" w:sz="4" w:space="0"/>
            </w:tcBorders>
            <w:vAlign w:val="center"/>
          </w:tcPr>
          <w:p>
            <w:pPr>
              <w:rPr>
                <w:rFonts w:ascii="宋体" w:hAnsi="宋体"/>
                <w:sz w:val="24"/>
              </w:rPr>
            </w:pPr>
            <w:r>
              <w:rPr>
                <w:rFonts w:hint="eastAsia" w:ascii="宋体" w:hAnsi="宋体"/>
                <w:sz w:val="24"/>
              </w:rPr>
              <w:t>1.实验室教室多媒体布线及施工，需与原有中控对接。如对接中控需要产生费用，由中标方承担费用；</w:t>
            </w:r>
          </w:p>
          <w:p>
            <w:pPr>
              <w:rPr>
                <w:rFonts w:ascii="宋体" w:hAnsi="宋体"/>
                <w:sz w:val="24"/>
              </w:rPr>
            </w:pPr>
            <w:r>
              <w:rPr>
                <w:rFonts w:hint="eastAsia" w:ascii="宋体" w:hAnsi="宋体"/>
                <w:sz w:val="24"/>
              </w:rPr>
              <w:t>2.以100平方实验室为标准，含投影机、音箱所有布线及安装1套</w:t>
            </w:r>
            <w:r>
              <w:rPr>
                <w:rFonts w:hint="eastAsia" w:ascii="宋体" w:hAnsi="宋体"/>
                <w:color w:val="000000"/>
                <w:kern w:val="0"/>
                <w:sz w:val="24"/>
              </w:rPr>
              <w:t>。</w:t>
            </w:r>
          </w:p>
        </w:tc>
        <w:tc>
          <w:tcPr>
            <w:tcW w:w="992" w:type="dxa"/>
            <w:tcBorders>
              <w:bottom w:val="single" w:color="auto" w:sz="4" w:space="0"/>
            </w:tcBorders>
            <w:vAlign w:val="center"/>
          </w:tcPr>
          <w:p>
            <w:pPr>
              <w:rPr>
                <w:szCs w:val="21"/>
              </w:rPr>
            </w:pPr>
          </w:p>
        </w:tc>
        <w:tc>
          <w:tcPr>
            <w:tcW w:w="2410" w:type="dxa"/>
            <w:tcBorders>
              <w:bottom w:val="single" w:color="auto" w:sz="4" w:space="0"/>
            </w:tcBorders>
            <w:vAlign w:val="center"/>
          </w:tcPr>
          <w:p>
            <w:pPr>
              <w:rPr>
                <w:szCs w:val="21"/>
              </w:rPr>
            </w:pPr>
          </w:p>
        </w:tc>
        <w:tc>
          <w:tcPr>
            <w:tcW w:w="2410" w:type="dxa"/>
            <w:tcBorders>
              <w:bottom w:val="single" w:color="auto" w:sz="4"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trPr>
        <w:tc>
          <w:tcPr>
            <w:tcW w:w="709" w:type="dxa"/>
            <w:tcBorders>
              <w:top w:val="single" w:color="auto" w:sz="4" w:space="0"/>
              <w:left w:val="nil"/>
              <w:bottom w:val="nil"/>
              <w:right w:val="nil"/>
            </w:tcBorders>
            <w:vAlign w:val="center"/>
          </w:tcPr>
          <w:p>
            <w:pPr>
              <w:rPr>
                <w:sz w:val="24"/>
              </w:rPr>
            </w:pPr>
          </w:p>
        </w:tc>
        <w:tc>
          <w:tcPr>
            <w:tcW w:w="1276" w:type="dxa"/>
            <w:tcBorders>
              <w:top w:val="single" w:color="auto" w:sz="4" w:space="0"/>
              <w:left w:val="nil"/>
              <w:bottom w:val="nil"/>
              <w:right w:val="nil"/>
            </w:tcBorders>
            <w:vAlign w:val="center"/>
          </w:tcPr>
          <w:p>
            <w:pPr>
              <w:rPr>
                <w:sz w:val="24"/>
              </w:rPr>
            </w:pPr>
          </w:p>
        </w:tc>
        <w:tc>
          <w:tcPr>
            <w:tcW w:w="7088" w:type="dxa"/>
            <w:tcBorders>
              <w:top w:val="single" w:color="auto" w:sz="4" w:space="0"/>
              <w:left w:val="nil"/>
              <w:bottom w:val="nil"/>
              <w:right w:val="nil"/>
            </w:tcBorders>
            <w:vAlign w:val="center"/>
          </w:tcPr>
          <w:p>
            <w:pPr>
              <w:rPr>
                <w:rFonts w:ascii="宋体" w:hAnsi="宋体"/>
                <w:sz w:val="24"/>
              </w:rPr>
            </w:pPr>
          </w:p>
        </w:tc>
        <w:tc>
          <w:tcPr>
            <w:tcW w:w="992" w:type="dxa"/>
            <w:tcBorders>
              <w:top w:val="single" w:color="auto" w:sz="4" w:space="0"/>
              <w:left w:val="nil"/>
              <w:bottom w:val="nil"/>
              <w:right w:val="nil"/>
            </w:tcBorders>
            <w:vAlign w:val="center"/>
          </w:tcPr>
          <w:p>
            <w:pPr>
              <w:rPr>
                <w:szCs w:val="21"/>
              </w:rPr>
            </w:pPr>
          </w:p>
        </w:tc>
        <w:tc>
          <w:tcPr>
            <w:tcW w:w="2410" w:type="dxa"/>
            <w:tcBorders>
              <w:top w:val="single" w:color="auto" w:sz="4" w:space="0"/>
              <w:left w:val="nil"/>
              <w:bottom w:val="nil"/>
              <w:right w:val="nil"/>
            </w:tcBorders>
            <w:vAlign w:val="center"/>
          </w:tcPr>
          <w:p>
            <w:pPr>
              <w:rPr>
                <w:szCs w:val="21"/>
              </w:rPr>
            </w:pPr>
          </w:p>
        </w:tc>
        <w:tc>
          <w:tcPr>
            <w:tcW w:w="2410" w:type="dxa"/>
            <w:tcBorders>
              <w:top w:val="single" w:color="auto" w:sz="4" w:space="0"/>
              <w:left w:val="nil"/>
              <w:bottom w:val="nil"/>
              <w:right w:val="nil"/>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atLeast"/>
        </w:trPr>
        <w:tc>
          <w:tcPr>
            <w:tcW w:w="709" w:type="dxa"/>
            <w:tcBorders>
              <w:top w:val="nil"/>
              <w:left w:val="nil"/>
              <w:bottom w:val="single" w:color="auto" w:sz="4" w:space="0"/>
              <w:right w:val="nil"/>
            </w:tcBorders>
            <w:vAlign w:val="center"/>
          </w:tcPr>
          <w:p>
            <w:pPr>
              <w:rPr>
                <w:sz w:val="24"/>
              </w:rPr>
            </w:pPr>
          </w:p>
          <w:p>
            <w:pPr>
              <w:rPr>
                <w:sz w:val="24"/>
              </w:rPr>
            </w:pPr>
          </w:p>
          <w:p>
            <w:pPr>
              <w:rPr>
                <w:sz w:val="24"/>
              </w:rPr>
            </w:pPr>
          </w:p>
          <w:p>
            <w:pPr>
              <w:rPr>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sz w:val="24"/>
              </w:rPr>
            </w:pPr>
          </w:p>
          <w:p>
            <w:pPr>
              <w:rPr>
                <w:sz w:val="24"/>
              </w:rPr>
            </w:pPr>
          </w:p>
        </w:tc>
        <w:tc>
          <w:tcPr>
            <w:tcW w:w="1276" w:type="dxa"/>
            <w:tcBorders>
              <w:top w:val="nil"/>
              <w:left w:val="nil"/>
              <w:bottom w:val="single" w:color="auto" w:sz="4" w:space="0"/>
              <w:right w:val="nil"/>
            </w:tcBorders>
            <w:vAlign w:val="center"/>
          </w:tcPr>
          <w:p>
            <w:pPr>
              <w:rPr>
                <w:sz w:val="24"/>
              </w:rPr>
            </w:pPr>
          </w:p>
        </w:tc>
        <w:tc>
          <w:tcPr>
            <w:tcW w:w="7088" w:type="dxa"/>
            <w:tcBorders>
              <w:top w:val="nil"/>
              <w:left w:val="nil"/>
              <w:bottom w:val="single" w:color="auto" w:sz="4" w:space="0"/>
              <w:right w:val="nil"/>
            </w:tcBorders>
            <w:vAlign w:val="center"/>
          </w:tcPr>
          <w:p>
            <w:pPr>
              <w:rPr>
                <w:rFonts w:ascii="宋体" w:hAnsi="宋体"/>
                <w:sz w:val="24"/>
              </w:rPr>
            </w:pPr>
          </w:p>
        </w:tc>
        <w:tc>
          <w:tcPr>
            <w:tcW w:w="992" w:type="dxa"/>
            <w:tcBorders>
              <w:top w:val="nil"/>
              <w:left w:val="nil"/>
              <w:bottom w:val="single" w:color="auto" w:sz="4" w:space="0"/>
              <w:right w:val="nil"/>
            </w:tcBorders>
            <w:vAlign w:val="center"/>
          </w:tcPr>
          <w:p>
            <w:pPr>
              <w:rPr>
                <w:szCs w:val="21"/>
              </w:rPr>
            </w:pPr>
          </w:p>
        </w:tc>
        <w:tc>
          <w:tcPr>
            <w:tcW w:w="2410" w:type="dxa"/>
            <w:tcBorders>
              <w:top w:val="nil"/>
              <w:left w:val="nil"/>
              <w:bottom w:val="single" w:color="auto" w:sz="4" w:space="0"/>
              <w:right w:val="nil"/>
            </w:tcBorders>
            <w:vAlign w:val="center"/>
          </w:tcPr>
          <w:p>
            <w:pPr>
              <w:rPr>
                <w:szCs w:val="21"/>
              </w:rPr>
            </w:pPr>
          </w:p>
        </w:tc>
        <w:tc>
          <w:tcPr>
            <w:tcW w:w="2410" w:type="dxa"/>
            <w:tcBorders>
              <w:top w:val="nil"/>
              <w:left w:val="nil"/>
              <w:bottom w:val="single" w:color="auto" w:sz="4" w:space="0"/>
              <w:right w:val="nil"/>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3" w:hRule="atLeast"/>
        </w:trPr>
        <w:tc>
          <w:tcPr>
            <w:tcW w:w="10065" w:type="dxa"/>
            <w:gridSpan w:val="4"/>
            <w:tcBorders>
              <w:top w:val="single" w:color="auto" w:sz="4" w:space="0"/>
            </w:tcBorders>
            <w:vAlign w:val="center"/>
          </w:tcPr>
          <w:p>
            <w:pPr>
              <w:rPr>
                <w:szCs w:val="21"/>
              </w:rPr>
            </w:pPr>
            <w:r>
              <w:rPr>
                <w:rFonts w:hint="eastAsia"/>
                <w:sz w:val="28"/>
                <w:szCs w:val="28"/>
              </w:rPr>
              <w:t>二</w:t>
            </w:r>
            <w:r>
              <w:rPr>
                <w:sz w:val="28"/>
                <w:szCs w:val="28"/>
              </w:rPr>
              <w:t>、校园广播系统</w:t>
            </w:r>
          </w:p>
        </w:tc>
        <w:tc>
          <w:tcPr>
            <w:tcW w:w="2410" w:type="dxa"/>
            <w:tcBorders>
              <w:top w:val="single" w:color="auto" w:sz="4" w:space="0"/>
            </w:tcBorders>
            <w:vAlign w:val="center"/>
          </w:tcPr>
          <w:p>
            <w:pPr>
              <w:rPr>
                <w:rFonts w:hint="eastAsia"/>
                <w:sz w:val="28"/>
                <w:szCs w:val="28"/>
              </w:rPr>
            </w:pPr>
            <w:r>
              <w:rPr>
                <w:rFonts w:hint="eastAsia"/>
                <w:sz w:val="28"/>
                <w:szCs w:val="28"/>
              </w:rPr>
              <w:t>★BGM（旗胜</w:t>
            </w:r>
            <w:r>
              <w:rPr>
                <w:sz w:val="28"/>
                <w:szCs w:val="28"/>
              </w:rPr>
              <w:t>-</w:t>
            </w:r>
            <w:r>
              <w:rPr>
                <w:rFonts w:hint="eastAsia"/>
                <w:sz w:val="28"/>
                <w:szCs w:val="28"/>
              </w:rPr>
              <w:t>知名</w:t>
            </w:r>
            <w:r>
              <w:rPr>
                <w:sz w:val="28"/>
                <w:szCs w:val="28"/>
              </w:rPr>
              <w:t>广播系统</w:t>
            </w:r>
            <w:r>
              <w:rPr>
                <w:rFonts w:hint="eastAsia"/>
                <w:sz w:val="28"/>
                <w:szCs w:val="28"/>
              </w:rPr>
              <w:t>）</w:t>
            </w:r>
          </w:p>
        </w:tc>
        <w:tc>
          <w:tcPr>
            <w:tcW w:w="2410" w:type="dxa"/>
            <w:tcBorders>
              <w:top w:val="single" w:color="auto" w:sz="4" w:space="0"/>
            </w:tcBorders>
          </w:tcPr>
          <w:p>
            <w:pPr>
              <w:rPr>
                <w:rFonts w:hint="eastAsia"/>
                <w:sz w:val="24"/>
              </w:rPr>
            </w:pPr>
            <w:r>
              <w:rPr>
                <w:rFonts w:hint="eastAsia"/>
                <w:sz w:val="24"/>
              </w:rPr>
              <w:t>由于需要和2013年采购的BGM品牌广播系统对接，采购的广播系统只能是BGM品牌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0" w:hRule="atLeast"/>
        </w:trPr>
        <w:tc>
          <w:tcPr>
            <w:tcW w:w="709" w:type="dxa"/>
            <w:vAlign w:val="center"/>
          </w:tcPr>
          <w:p>
            <w:pPr>
              <w:rPr>
                <w:szCs w:val="21"/>
              </w:rPr>
            </w:pPr>
          </w:p>
        </w:tc>
        <w:tc>
          <w:tcPr>
            <w:tcW w:w="1276" w:type="dxa"/>
            <w:vAlign w:val="center"/>
          </w:tcPr>
          <w:p>
            <w:pPr>
              <w:widowControl/>
              <w:rPr>
                <w:szCs w:val="21"/>
              </w:rPr>
            </w:pPr>
            <w:r>
              <w:rPr>
                <w:rFonts w:hint="eastAsia"/>
                <w:szCs w:val="21"/>
              </w:rPr>
              <w:t>多通道定压功放</w:t>
            </w:r>
          </w:p>
        </w:tc>
        <w:tc>
          <w:tcPr>
            <w:tcW w:w="7088" w:type="dxa"/>
            <w:vAlign w:val="center"/>
          </w:tcPr>
          <w:p>
            <w:pPr>
              <w:widowControl/>
              <w:rPr>
                <w:szCs w:val="21"/>
              </w:rPr>
            </w:pPr>
            <w:r>
              <w:rPr>
                <w:rFonts w:hint="eastAsia"/>
                <w:szCs w:val="21"/>
              </w:rPr>
              <w:t>★知名广播品牌，不接受OEM产品</w:t>
            </w:r>
            <w:r>
              <w:rPr>
                <w:szCs w:val="21"/>
              </w:rPr>
              <w:t>投标，生产厂家需提供</w:t>
            </w:r>
            <w:r>
              <w:rPr>
                <w:rFonts w:hint="eastAsia"/>
                <w:szCs w:val="21"/>
              </w:rPr>
              <w:t>声频</w:t>
            </w:r>
            <w:r>
              <w:rPr>
                <w:szCs w:val="21"/>
              </w:rPr>
              <w:t>等级证书。</w:t>
            </w:r>
          </w:p>
          <w:p>
            <w:pPr>
              <w:widowControl/>
              <w:rPr>
                <w:color w:val="000000"/>
                <w:szCs w:val="21"/>
              </w:rPr>
            </w:pPr>
            <w:r>
              <w:rPr>
                <w:rFonts w:hint="eastAsia"/>
                <w:szCs w:val="21"/>
              </w:rPr>
              <w:t>★</w:t>
            </w:r>
            <w:r>
              <w:rPr>
                <w:rFonts w:hint="eastAsia"/>
                <w:color w:val="000000"/>
                <w:szCs w:val="21"/>
              </w:rPr>
              <w:t>生产厂家须具有国家ISO9001：2008质量检测报告证书并加盖原厂公章且提供证书编号官网查询截图并盖章；</w:t>
            </w:r>
          </w:p>
          <w:p>
            <w:pPr>
              <w:widowControl/>
              <w:rPr>
                <w:color w:val="000000"/>
                <w:szCs w:val="21"/>
              </w:rPr>
            </w:pPr>
            <w:r>
              <w:rPr>
                <w:rFonts w:hint="eastAsia"/>
                <w:szCs w:val="21"/>
              </w:rPr>
              <w:t>★</w:t>
            </w:r>
            <w:r>
              <w:rPr>
                <w:rFonts w:hint="eastAsia"/>
                <w:color w:val="000000"/>
                <w:szCs w:val="21"/>
              </w:rPr>
              <w:t>生产厂家须具高新技术企业证书并加盖原厂公章且提供证书编号官网查询截图并盖章；</w:t>
            </w:r>
          </w:p>
          <w:p>
            <w:pPr>
              <w:widowControl/>
              <w:rPr>
                <w:color w:val="000000"/>
                <w:szCs w:val="21"/>
              </w:rPr>
            </w:pPr>
            <w:r>
              <w:rPr>
                <w:rFonts w:hint="eastAsia"/>
                <w:szCs w:val="21"/>
              </w:rPr>
              <w:t>★</w:t>
            </w:r>
            <w:r>
              <w:rPr>
                <w:rFonts w:hint="eastAsia"/>
                <w:color w:val="000000"/>
                <w:szCs w:val="21"/>
              </w:rPr>
              <w:t>所投厂家具有由高新技术企业证，并加盖原厂公章；</w:t>
            </w:r>
          </w:p>
          <w:p>
            <w:pPr>
              <w:widowControl/>
              <w:rPr>
                <w:color w:val="000000"/>
                <w:szCs w:val="21"/>
              </w:rPr>
            </w:pPr>
            <w:r>
              <w:rPr>
                <w:rFonts w:hint="eastAsia"/>
                <w:color w:val="000000"/>
                <w:szCs w:val="21"/>
              </w:rPr>
              <w:t>1、多通道连接功率放大器；4*4 LED显示，实时状态显示；通用便捷插口，即插即用；</w:t>
            </w:r>
            <w:r>
              <w:rPr>
                <w:rFonts w:hint="eastAsia"/>
                <w:color w:val="000000"/>
                <w:szCs w:val="21"/>
              </w:rPr>
              <w:br w:type="textWrapping"/>
            </w:r>
            <w:r>
              <w:rPr>
                <w:color w:val="000000"/>
                <w:szCs w:val="21"/>
              </w:rPr>
              <w:t>2</w:t>
            </w:r>
            <w:r>
              <w:rPr>
                <w:rFonts w:hint="eastAsia"/>
                <w:color w:val="000000"/>
                <w:szCs w:val="21"/>
              </w:rPr>
              <w:t>、★具有短路、过载、过热自动保护功能，声光报警指示；</w:t>
            </w:r>
            <w:r>
              <w:rPr>
                <w:rFonts w:hint="eastAsia"/>
                <w:color w:val="000000"/>
                <w:szCs w:val="21"/>
              </w:rPr>
              <w:br w:type="textWrapping"/>
            </w:r>
            <w:r>
              <w:rPr>
                <w:rFonts w:hint="eastAsia"/>
                <w:color w:val="000000"/>
                <w:szCs w:val="21"/>
              </w:rPr>
              <w:t>温控保护电路，短路保护电路；</w:t>
            </w:r>
            <w:r>
              <w:rPr>
                <w:rFonts w:hint="eastAsia"/>
                <w:color w:val="000000"/>
                <w:szCs w:val="21"/>
              </w:rPr>
              <w:br w:type="textWrapping"/>
            </w:r>
            <w:r>
              <w:rPr>
                <w:color w:val="000000"/>
                <w:szCs w:val="21"/>
              </w:rPr>
              <w:t>3</w:t>
            </w:r>
            <w:r>
              <w:rPr>
                <w:rFonts w:hint="eastAsia"/>
                <w:color w:val="000000"/>
                <w:szCs w:val="21"/>
              </w:rPr>
              <w:t>、★额定输出功率：4*120W；输入灵敏度 ：0.775V (0dB)；信噪比：大于80dB（A计权）；输出电压调整率：≤1dB</w:t>
            </w:r>
            <w:r>
              <w:rPr>
                <w:rFonts w:hint="eastAsia"/>
                <w:color w:val="000000"/>
                <w:szCs w:val="21"/>
              </w:rPr>
              <w:br w:type="textWrapping"/>
            </w:r>
            <w:r>
              <w:rPr>
                <w:color w:val="000000"/>
                <w:szCs w:val="21"/>
              </w:rPr>
              <w:t>4</w:t>
            </w:r>
            <w:r>
              <w:rPr>
                <w:rFonts w:hint="eastAsia"/>
                <w:color w:val="000000"/>
                <w:szCs w:val="21"/>
              </w:rPr>
              <w:t>、冷却方式：强迫风冷</w:t>
            </w:r>
            <w:r>
              <w:rPr>
                <w:rFonts w:hint="eastAsia"/>
                <w:color w:val="000000"/>
                <w:szCs w:val="21"/>
              </w:rPr>
              <w:br w:type="textWrapping"/>
            </w:r>
            <w:r>
              <w:rPr>
                <w:color w:val="000000"/>
                <w:szCs w:val="21"/>
              </w:rPr>
              <w:t>5</w:t>
            </w:r>
            <w:r>
              <w:rPr>
                <w:rFonts w:hint="eastAsia"/>
                <w:color w:val="000000"/>
                <w:szCs w:val="21"/>
              </w:rPr>
              <w:t>、★频响：60Hz---- 18kHz  (±3dB)；总谐波 失真：≯0.5%（1kHz）1/3额定功率</w:t>
            </w:r>
            <w:r>
              <w:rPr>
                <w:rFonts w:hint="eastAsia"/>
                <w:color w:val="000000"/>
                <w:szCs w:val="21"/>
              </w:rPr>
              <w:br w:type="textWrapping"/>
            </w:r>
            <w:r>
              <w:rPr>
                <w:color w:val="000000"/>
                <w:szCs w:val="21"/>
              </w:rPr>
              <w:t>6</w:t>
            </w:r>
            <w:r>
              <w:rPr>
                <w:rFonts w:hint="eastAsia"/>
                <w:color w:val="000000"/>
                <w:szCs w:val="21"/>
              </w:rPr>
              <w:t>、★指示灯：电源POWER 削波CLIP 信号SIGNAL 保护PROT  高温TEMP</w:t>
            </w:r>
            <w:r>
              <w:rPr>
                <w:rFonts w:hint="eastAsia"/>
                <w:color w:val="000000"/>
                <w:szCs w:val="21"/>
              </w:rPr>
              <w:br w:type="textWrapping"/>
            </w:r>
            <w:r>
              <w:rPr>
                <w:color w:val="000000"/>
                <w:szCs w:val="21"/>
              </w:rPr>
              <w:t>7</w:t>
            </w:r>
            <w:r>
              <w:rPr>
                <w:rFonts w:hint="eastAsia"/>
                <w:color w:val="000000"/>
                <w:szCs w:val="21"/>
              </w:rPr>
              <w:t>、★保护：电源通断 温度过高 直流输出 负载短路</w:t>
            </w:r>
            <w:r>
              <w:rPr>
                <w:rFonts w:hint="eastAsia"/>
                <w:color w:val="000000"/>
                <w:szCs w:val="21"/>
              </w:rPr>
              <w:br w:type="textWrapping"/>
            </w:r>
            <w:r>
              <w:rPr>
                <w:color w:val="000000"/>
                <w:szCs w:val="21"/>
              </w:rPr>
              <w:t>8</w:t>
            </w:r>
            <w:r>
              <w:rPr>
                <w:rFonts w:hint="eastAsia"/>
                <w:color w:val="000000"/>
                <w:szCs w:val="21"/>
              </w:rPr>
              <w:t>、电源：AC220---240V/50-60Hz；尺寸（mm）：480 X 500 X 88；最大功耗：＜500W；净重(kg)：15。</w:t>
            </w:r>
          </w:p>
        </w:tc>
        <w:tc>
          <w:tcPr>
            <w:tcW w:w="992" w:type="dxa"/>
            <w:vAlign w:val="center"/>
          </w:tcPr>
          <w:p>
            <w:pPr>
              <w:rPr>
                <w:szCs w:val="21"/>
              </w:rPr>
            </w:pPr>
          </w:p>
        </w:tc>
        <w:tc>
          <w:tcPr>
            <w:tcW w:w="2410" w:type="dxa"/>
            <w:vAlign w:val="center"/>
          </w:tcPr>
          <w:p>
            <w:pPr>
              <w:rPr>
                <w:rFonts w:hint="eastAsia"/>
                <w:szCs w:val="21"/>
              </w:rPr>
            </w:pPr>
          </w:p>
        </w:tc>
        <w:tc>
          <w:tcPr>
            <w:tcW w:w="2410" w:type="dxa"/>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trPr>
        <w:tc>
          <w:tcPr>
            <w:tcW w:w="709" w:type="dxa"/>
            <w:vAlign w:val="center"/>
          </w:tcPr>
          <w:p>
            <w:pPr>
              <w:rPr>
                <w:szCs w:val="21"/>
              </w:rPr>
            </w:pPr>
          </w:p>
        </w:tc>
        <w:tc>
          <w:tcPr>
            <w:tcW w:w="1276" w:type="dxa"/>
            <w:vAlign w:val="center"/>
          </w:tcPr>
          <w:p>
            <w:pPr>
              <w:rPr>
                <w:szCs w:val="21"/>
              </w:rPr>
            </w:pPr>
            <w:r>
              <w:rPr>
                <w:rFonts w:hint="eastAsia"/>
                <w:szCs w:val="21"/>
              </w:rPr>
              <w:t>数字音频四通道解码器</w:t>
            </w:r>
          </w:p>
        </w:tc>
        <w:tc>
          <w:tcPr>
            <w:tcW w:w="7088" w:type="dxa"/>
            <w:vAlign w:val="center"/>
          </w:tcPr>
          <w:p>
            <w:pPr>
              <w:widowControl/>
              <w:rPr>
                <w:color w:val="000000"/>
                <w:szCs w:val="21"/>
              </w:rPr>
            </w:pPr>
            <w:r>
              <w:rPr>
                <w:rFonts w:hint="eastAsia"/>
                <w:color w:val="000000"/>
                <w:szCs w:val="21"/>
              </w:rPr>
              <w:t>1、★基于国际先进的“CobraNet”协议，嵌入式台式立体设计；</w:t>
            </w:r>
            <w:r>
              <w:rPr>
                <w:rFonts w:hint="eastAsia"/>
                <w:color w:val="000000"/>
                <w:szCs w:val="21"/>
              </w:rPr>
              <w:br w:type="textWrapping"/>
            </w:r>
            <w:r>
              <w:rPr>
                <w:color w:val="000000"/>
                <w:szCs w:val="21"/>
              </w:rPr>
              <w:t>2</w:t>
            </w:r>
            <w:r>
              <w:rPr>
                <w:rFonts w:hint="eastAsia"/>
                <w:color w:val="000000"/>
                <w:szCs w:val="21"/>
              </w:rPr>
              <w:t>、★四路独立解码同通道对网络数字信号进行音频解码和输出，实现不同分区播放不同音乐功能；</w:t>
            </w:r>
            <w:r>
              <w:rPr>
                <w:rFonts w:hint="eastAsia"/>
                <w:color w:val="000000"/>
                <w:szCs w:val="21"/>
              </w:rPr>
              <w:br w:type="textWrapping"/>
            </w:r>
            <w:r>
              <w:rPr>
                <w:color w:val="000000"/>
                <w:szCs w:val="21"/>
              </w:rPr>
              <w:t>3</w:t>
            </w:r>
            <w:r>
              <w:rPr>
                <w:rFonts w:hint="eastAsia"/>
                <w:color w:val="000000"/>
                <w:szCs w:val="21"/>
              </w:rPr>
              <w:t>、4个控制输入接口，4个控制输出接口；128*64的液晶显示屏和一键飞梭控制键，操作直观方便；用户可以自由点播音源，调节音量音调和管理通道电源；四路AV接口用于音频信号输出；</w:t>
            </w:r>
            <w:r>
              <w:rPr>
                <w:rFonts w:hint="eastAsia"/>
                <w:color w:val="000000"/>
                <w:szCs w:val="21"/>
              </w:rPr>
              <w:br w:type="textWrapping"/>
            </w:r>
            <w:r>
              <w:rPr>
                <w:color w:val="000000"/>
                <w:szCs w:val="21"/>
              </w:rPr>
              <w:t>5</w:t>
            </w:r>
            <w:r>
              <w:rPr>
                <w:rFonts w:hint="eastAsia"/>
                <w:color w:val="000000"/>
                <w:szCs w:val="21"/>
              </w:rPr>
              <w:t>、★四路控制输入接口用于消防信号接入；四路控制输出接口用于控制系统外接设备；</w:t>
            </w:r>
            <w:r>
              <w:rPr>
                <w:rFonts w:hint="eastAsia"/>
                <w:color w:val="000000"/>
                <w:szCs w:val="21"/>
              </w:rPr>
              <w:br w:type="textWrapping"/>
            </w:r>
            <w:r>
              <w:rPr>
                <w:color w:val="000000"/>
                <w:szCs w:val="21"/>
              </w:rPr>
              <w:t>6</w:t>
            </w:r>
            <w:r>
              <w:rPr>
                <w:rFonts w:hint="eastAsia"/>
                <w:color w:val="000000"/>
                <w:szCs w:val="21"/>
              </w:rPr>
              <w:t>、★音频输出：0dB；频    响：20Hz-20KHz±3dB；信 噪 比：≥ 60dB</w:t>
            </w:r>
            <w:r>
              <w:rPr>
                <w:rFonts w:hint="eastAsia"/>
                <w:color w:val="000000"/>
                <w:szCs w:val="21"/>
              </w:rPr>
              <w:br w:type="textWrapping"/>
            </w:r>
            <w:r>
              <w:rPr>
                <w:color w:val="000000"/>
                <w:szCs w:val="21"/>
              </w:rPr>
              <w:t>7</w:t>
            </w:r>
            <w:r>
              <w:rPr>
                <w:rFonts w:hint="eastAsia"/>
                <w:color w:val="000000"/>
                <w:szCs w:val="21"/>
              </w:rPr>
              <w:t>、高音：12dB；低音：12dB；电源 AC220V/50Hz ±10％；净重 4.7Kg；机箱尺寸 313*477*44mm L*W*H。</w:t>
            </w:r>
          </w:p>
        </w:tc>
        <w:tc>
          <w:tcPr>
            <w:tcW w:w="992" w:type="dxa"/>
            <w:vAlign w:val="center"/>
          </w:tcPr>
          <w:p>
            <w:pPr>
              <w:rPr>
                <w:szCs w:val="21"/>
              </w:rPr>
            </w:pPr>
          </w:p>
        </w:tc>
        <w:tc>
          <w:tcPr>
            <w:tcW w:w="2410" w:type="dxa"/>
            <w:vAlign w:val="center"/>
          </w:tcPr>
          <w:p>
            <w:pPr>
              <w:rPr>
                <w:rFonts w:hint="eastAsia"/>
                <w:szCs w:val="21"/>
              </w:rPr>
            </w:pPr>
          </w:p>
        </w:tc>
        <w:tc>
          <w:tcPr>
            <w:tcW w:w="2410" w:type="dxa"/>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trPr>
        <w:tc>
          <w:tcPr>
            <w:tcW w:w="709" w:type="dxa"/>
            <w:vAlign w:val="center"/>
          </w:tcPr>
          <w:p>
            <w:pPr>
              <w:rPr>
                <w:szCs w:val="21"/>
              </w:rPr>
            </w:pPr>
          </w:p>
        </w:tc>
        <w:tc>
          <w:tcPr>
            <w:tcW w:w="1276" w:type="dxa"/>
            <w:vAlign w:val="center"/>
          </w:tcPr>
          <w:p>
            <w:pPr>
              <w:widowControl/>
              <w:rPr>
                <w:szCs w:val="21"/>
              </w:rPr>
            </w:pPr>
            <w:r>
              <w:rPr>
                <w:rFonts w:hint="eastAsia"/>
                <w:szCs w:val="21"/>
              </w:rPr>
              <w:t>数字音频广播主机</w:t>
            </w:r>
          </w:p>
        </w:tc>
        <w:tc>
          <w:tcPr>
            <w:tcW w:w="7088" w:type="dxa"/>
            <w:vAlign w:val="center"/>
          </w:tcPr>
          <w:p>
            <w:pPr>
              <w:widowControl/>
              <w:rPr>
                <w:color w:val="000000"/>
                <w:szCs w:val="21"/>
              </w:rPr>
            </w:pPr>
            <w:r>
              <w:rPr>
                <w:rFonts w:hint="eastAsia"/>
                <w:color w:val="000000"/>
                <w:szCs w:val="21"/>
              </w:rPr>
              <w:t>1、★嵌入式智能控制主机，系统采用国际先进的“CobraNet”协议，综合硬件、软件和通信协议为一体的网络音频实时传输技术，实现网络音频实时传输；</w:t>
            </w:r>
            <w:r>
              <w:rPr>
                <w:rFonts w:hint="eastAsia"/>
                <w:color w:val="000000"/>
                <w:szCs w:val="21"/>
              </w:rPr>
              <w:br w:type="textWrapping"/>
            </w:r>
            <w:r>
              <w:rPr>
                <w:color w:val="000000"/>
                <w:szCs w:val="21"/>
              </w:rPr>
              <w:t>2</w:t>
            </w:r>
            <w:r>
              <w:rPr>
                <w:rFonts w:hint="eastAsia"/>
                <w:color w:val="000000"/>
                <w:szCs w:val="21"/>
              </w:rPr>
              <w:t>、★系统抗干扰能力强，音质优，无压缩还原实时性强等特点；</w:t>
            </w:r>
            <w:r>
              <w:rPr>
                <w:rFonts w:hint="eastAsia"/>
                <w:color w:val="000000"/>
                <w:szCs w:val="21"/>
              </w:rPr>
              <w:br w:type="textWrapping"/>
            </w:r>
            <w:r>
              <w:rPr>
                <w:color w:val="000000"/>
                <w:szCs w:val="21"/>
              </w:rPr>
              <w:t>3</w:t>
            </w:r>
            <w:r>
              <w:rPr>
                <w:rFonts w:hint="eastAsia"/>
                <w:color w:val="000000"/>
                <w:szCs w:val="21"/>
              </w:rPr>
              <w:t>、系统管理，触发信号响应；</w:t>
            </w:r>
            <w:r>
              <w:rPr>
                <w:rFonts w:hint="eastAsia"/>
                <w:color w:val="000000"/>
                <w:szCs w:val="21"/>
              </w:rPr>
              <w:br w:type="textWrapping"/>
            </w:r>
            <w:r>
              <w:rPr>
                <w:color w:val="000000"/>
                <w:szCs w:val="21"/>
              </w:rPr>
              <w:t>4</w:t>
            </w:r>
            <w:r>
              <w:rPr>
                <w:rFonts w:hint="eastAsia"/>
                <w:color w:val="000000"/>
                <w:szCs w:val="21"/>
              </w:rPr>
              <w:t>、系统可完全脱离客户端管理，实现无人值守，独立运行；不受分区限制、4路内置音源路由功能、可以无限制扩展外置音源（每路4M带宽）；</w:t>
            </w:r>
            <w:r>
              <w:rPr>
                <w:rFonts w:hint="eastAsia"/>
                <w:color w:val="000000"/>
                <w:szCs w:val="21"/>
              </w:rPr>
              <w:br w:type="textWrapping"/>
            </w:r>
            <w:r>
              <w:rPr>
                <w:color w:val="000000"/>
                <w:szCs w:val="21"/>
              </w:rPr>
              <w:t>5</w:t>
            </w:r>
            <w:r>
              <w:rPr>
                <w:rFonts w:hint="eastAsia"/>
                <w:color w:val="000000"/>
                <w:szCs w:val="21"/>
              </w:rPr>
              <w:t>、可实现不同分区播放不同背景音乐，具备可编程定时广播、消防广播、呼叫站远程广播、控制台广播、电话远程广播、系统监控、电源管理等功能；</w:t>
            </w:r>
            <w:r>
              <w:rPr>
                <w:rFonts w:hint="eastAsia"/>
                <w:color w:val="000000"/>
                <w:szCs w:val="21"/>
              </w:rPr>
              <w:br w:type="textWrapping"/>
            </w:r>
            <w:r>
              <w:rPr>
                <w:rFonts w:hint="eastAsia"/>
                <w:color w:val="000000"/>
                <w:szCs w:val="21"/>
              </w:rPr>
              <w:t>6、网络中的任一管理员电脑可以通过管理软件对整个网络数字广播进行管理，如系统设备配置、分区设置、呼叫站设置、控制台设置、控制输入设置、红外遥控设置、电话设置、音频文件管理、定时方案设置、方案运行设置、数据库设置、系统更新设置等；</w:t>
            </w:r>
            <w:r>
              <w:rPr>
                <w:rFonts w:hint="eastAsia"/>
                <w:color w:val="000000"/>
                <w:szCs w:val="21"/>
              </w:rPr>
              <w:br w:type="textWrapping"/>
            </w:r>
            <w:r>
              <w:rPr>
                <w:color w:val="000000"/>
                <w:szCs w:val="21"/>
              </w:rPr>
              <w:t>7</w:t>
            </w:r>
            <w:r>
              <w:rPr>
                <w:rFonts w:hint="eastAsia"/>
                <w:color w:val="000000"/>
                <w:szCs w:val="21"/>
              </w:rPr>
              <w:t>、通过RJ45网络接口连接到系统局域网,避免了繁琐的接线工作.</w:t>
            </w:r>
            <w:r>
              <w:rPr>
                <w:rFonts w:hint="eastAsia"/>
                <w:color w:val="000000"/>
                <w:szCs w:val="21"/>
              </w:rPr>
              <w:br w:type="textWrapping"/>
            </w:r>
            <w:r>
              <w:rPr>
                <w:color w:val="000000"/>
                <w:szCs w:val="21"/>
              </w:rPr>
              <w:t>8</w:t>
            </w:r>
            <w:r>
              <w:rPr>
                <w:rFonts w:hint="eastAsia"/>
                <w:color w:val="000000"/>
                <w:szCs w:val="21"/>
              </w:rPr>
              <w:t>、系统主机软件可以为系统提供各种系统管理服务；用户可以通过PC客户端软件对系统主机进行配置和监控；</w:t>
            </w:r>
            <w:r>
              <w:rPr>
                <w:rFonts w:hint="eastAsia"/>
                <w:color w:val="000000"/>
                <w:szCs w:val="21"/>
              </w:rPr>
              <w:br w:type="textWrapping"/>
            </w:r>
            <w:r>
              <w:rPr>
                <w:color w:val="000000"/>
                <w:szCs w:val="21"/>
              </w:rPr>
              <w:t>9</w:t>
            </w:r>
            <w:r>
              <w:rPr>
                <w:rFonts w:hint="eastAsia"/>
                <w:color w:val="000000"/>
                <w:szCs w:val="21"/>
              </w:rPr>
              <w:t>、一路RS485接口与集中式控制输入器连接,实现消防联动；可脱离PC客户端自动独立运行.；一个RS232接口 用于连接消防报警处理器；两个网络接口 一个用于网络控制（实现系统的控制功能），另一个用于内置音源传输；PS2,USB以及并口 用于系统升级使用。</w:t>
            </w:r>
            <w:r>
              <w:rPr>
                <w:rFonts w:hint="eastAsia"/>
                <w:color w:val="000000"/>
                <w:szCs w:val="21"/>
              </w:rPr>
              <w:br w:type="textWrapping"/>
            </w:r>
            <w:r>
              <w:rPr>
                <w:color w:val="000000"/>
                <w:szCs w:val="21"/>
              </w:rPr>
              <w:t>10、</w:t>
            </w:r>
            <w:r>
              <w:rPr>
                <w:rFonts w:hint="eastAsia"/>
                <w:color w:val="000000"/>
                <w:szCs w:val="21"/>
              </w:rPr>
              <w:t>波失真 ≦0.5％（1KHz 1V）</w:t>
            </w:r>
            <w:r>
              <w:rPr>
                <w:color w:val="000000"/>
                <w:szCs w:val="21"/>
              </w:rPr>
              <w:t>；</w:t>
            </w:r>
            <w:r>
              <w:rPr>
                <w:rFonts w:hint="eastAsia"/>
                <w:color w:val="000000"/>
                <w:szCs w:val="21"/>
              </w:rPr>
              <w:t>AC220V/50Hz ±10％</w:t>
            </w:r>
            <w:r>
              <w:rPr>
                <w:color w:val="000000"/>
                <w:szCs w:val="21"/>
              </w:rPr>
              <w:t>；</w:t>
            </w:r>
            <w:r>
              <w:rPr>
                <w:rFonts w:hint="eastAsia"/>
                <w:color w:val="000000"/>
                <w:szCs w:val="21"/>
              </w:rPr>
              <w:t>机功耗 ≦20W</w:t>
            </w:r>
            <w:r>
              <w:rPr>
                <w:color w:val="000000"/>
                <w:szCs w:val="21"/>
              </w:rPr>
              <w:t>；</w:t>
            </w:r>
            <w:r>
              <w:rPr>
                <w:rFonts w:hint="eastAsia"/>
                <w:color w:val="000000"/>
                <w:szCs w:val="21"/>
              </w:rPr>
              <w:t>功耗 ≦60W</w:t>
            </w:r>
            <w:r>
              <w:rPr>
                <w:color w:val="000000"/>
                <w:szCs w:val="21"/>
              </w:rPr>
              <w:t>；</w:t>
            </w:r>
          </w:p>
          <w:p>
            <w:pPr>
              <w:widowControl/>
              <w:rPr>
                <w:color w:val="000000"/>
                <w:szCs w:val="21"/>
              </w:rPr>
            </w:pPr>
            <w:r>
              <w:rPr>
                <w:color w:val="000000"/>
                <w:szCs w:val="21"/>
              </w:rPr>
              <w:t>11</w:t>
            </w:r>
            <w:r>
              <w:rPr>
                <w:rFonts w:hint="eastAsia"/>
                <w:color w:val="000000"/>
                <w:szCs w:val="21"/>
              </w:rPr>
              <w:t>、★</w:t>
            </w:r>
            <w:r>
              <w:rPr>
                <w:color w:val="000000"/>
                <w:szCs w:val="21"/>
              </w:rPr>
              <w:t>开</w:t>
            </w:r>
            <w:r>
              <w:rPr>
                <w:rFonts w:hint="eastAsia"/>
                <w:color w:val="000000"/>
                <w:szCs w:val="21"/>
              </w:rPr>
              <w:t>机时间 ≦60S；响应时间 ≦1.5S；</w:t>
            </w:r>
          </w:p>
          <w:p>
            <w:pPr>
              <w:widowControl/>
              <w:rPr>
                <w:color w:val="000000"/>
                <w:szCs w:val="21"/>
              </w:rPr>
            </w:pPr>
            <w:r>
              <w:rPr>
                <w:color w:val="000000"/>
                <w:szCs w:val="21"/>
              </w:rPr>
              <w:t>12</w:t>
            </w:r>
            <w:r>
              <w:rPr>
                <w:rFonts w:hint="eastAsia"/>
                <w:color w:val="000000"/>
                <w:szCs w:val="21"/>
              </w:rPr>
              <w:t>、★需</w:t>
            </w:r>
            <w:r>
              <w:rPr>
                <w:color w:val="000000"/>
                <w:szCs w:val="21"/>
              </w:rPr>
              <w:t>提供</w:t>
            </w:r>
            <w:r>
              <w:rPr>
                <w:rFonts w:hint="eastAsia"/>
                <w:color w:val="000000"/>
                <w:szCs w:val="21"/>
              </w:rPr>
              <w:t>3C证书</w:t>
            </w:r>
            <w:r>
              <w:rPr>
                <w:color w:val="000000"/>
                <w:szCs w:val="21"/>
              </w:rPr>
              <w:t>，证书编码官网可查</w:t>
            </w:r>
            <w:r>
              <w:rPr>
                <w:rFonts w:hint="eastAsia"/>
                <w:color w:val="000000"/>
                <w:szCs w:val="21"/>
              </w:rPr>
              <w:t>。</w:t>
            </w:r>
          </w:p>
        </w:tc>
        <w:tc>
          <w:tcPr>
            <w:tcW w:w="992" w:type="dxa"/>
            <w:vAlign w:val="center"/>
          </w:tcPr>
          <w:p>
            <w:pPr>
              <w:rPr>
                <w:szCs w:val="21"/>
              </w:rPr>
            </w:pPr>
          </w:p>
        </w:tc>
        <w:tc>
          <w:tcPr>
            <w:tcW w:w="2410" w:type="dxa"/>
            <w:vAlign w:val="center"/>
          </w:tcPr>
          <w:p>
            <w:pPr>
              <w:rPr>
                <w:rFonts w:hint="eastAsia"/>
                <w:szCs w:val="21"/>
              </w:rPr>
            </w:pPr>
          </w:p>
        </w:tc>
        <w:tc>
          <w:tcPr>
            <w:tcW w:w="2410" w:type="dxa"/>
          </w:tcPr>
          <w:p>
            <w:pP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8" w:hRule="atLeast"/>
        </w:trPr>
        <w:tc>
          <w:tcPr>
            <w:tcW w:w="709" w:type="dxa"/>
            <w:vAlign w:val="center"/>
          </w:tcPr>
          <w:p>
            <w:pPr>
              <w:rPr>
                <w:szCs w:val="21"/>
              </w:rPr>
            </w:pPr>
          </w:p>
        </w:tc>
        <w:tc>
          <w:tcPr>
            <w:tcW w:w="1276" w:type="dxa"/>
            <w:vAlign w:val="center"/>
          </w:tcPr>
          <w:p>
            <w:pPr>
              <w:widowControl/>
              <w:rPr>
                <w:szCs w:val="21"/>
              </w:rPr>
            </w:pPr>
            <w:r>
              <w:rPr>
                <w:rFonts w:hint="eastAsia"/>
                <w:szCs w:val="21"/>
              </w:rPr>
              <w:t>数字音频主机软件</w:t>
            </w:r>
          </w:p>
        </w:tc>
        <w:tc>
          <w:tcPr>
            <w:tcW w:w="7088" w:type="dxa"/>
            <w:vAlign w:val="center"/>
          </w:tcPr>
          <w:p>
            <w:pPr>
              <w:widowControl/>
              <w:rPr>
                <w:color w:val="000000"/>
                <w:szCs w:val="21"/>
              </w:rPr>
            </w:pPr>
            <w:r>
              <w:rPr>
                <w:rFonts w:hint="eastAsia"/>
                <w:color w:val="000000"/>
                <w:szCs w:val="21"/>
              </w:rPr>
              <w:t>1、★嵌入式主机管理客户端软件，软件基于国际先进的“CobraNet”协议，综合硬件、软件和通信协议为一体的网络音频实时传输技术，实现网络音频实时传输；</w:t>
            </w:r>
            <w:r>
              <w:rPr>
                <w:rFonts w:hint="eastAsia"/>
                <w:color w:val="000000"/>
                <w:szCs w:val="21"/>
              </w:rPr>
              <w:br w:type="textWrapping"/>
            </w:r>
            <w:r>
              <w:rPr>
                <w:color w:val="000000"/>
                <w:szCs w:val="21"/>
              </w:rPr>
              <w:t>2</w:t>
            </w:r>
            <w:r>
              <w:rPr>
                <w:rFonts w:hint="eastAsia"/>
                <w:color w:val="000000"/>
                <w:szCs w:val="21"/>
              </w:rPr>
              <w:t>、通过设置可实现不同分区播放不同音乐、节目需求；可实现全天候无人职守运行；</w:t>
            </w:r>
            <w:r>
              <w:rPr>
                <w:rFonts w:hint="eastAsia"/>
                <w:color w:val="000000"/>
                <w:szCs w:val="21"/>
              </w:rPr>
              <w:br w:type="textWrapping"/>
            </w:r>
            <w:r>
              <w:rPr>
                <w:color w:val="000000"/>
                <w:szCs w:val="21"/>
              </w:rPr>
              <w:t>3</w:t>
            </w:r>
            <w:r>
              <w:rPr>
                <w:rFonts w:hint="eastAsia"/>
                <w:color w:val="000000"/>
                <w:szCs w:val="21"/>
              </w:rPr>
              <w:t>、网络中的任一管理员电脑可以通过系统管理软件，对整个网络数字广播进行管理，如系统设备配置、分区设置、呼叫站设置、控制台设置、控制输入设置、红外遥控设置、电话设置、音频文件管理、定时方案设置、方案运行设置、数据库设置、系统更新设置等</w:t>
            </w:r>
          </w:p>
          <w:p>
            <w:pPr>
              <w:widowControl/>
              <w:rPr>
                <w:color w:val="000000"/>
                <w:szCs w:val="21"/>
              </w:rPr>
            </w:pPr>
            <w:r>
              <w:rPr>
                <w:color w:val="000000"/>
                <w:szCs w:val="21"/>
              </w:rPr>
              <w:t>4</w:t>
            </w:r>
            <w:r>
              <w:rPr>
                <w:rFonts w:hint="eastAsia"/>
                <w:color w:val="000000"/>
                <w:szCs w:val="21"/>
              </w:rPr>
              <w:t>、★</w:t>
            </w:r>
            <w:r>
              <w:rPr>
                <w:color w:val="000000"/>
                <w:szCs w:val="21"/>
              </w:rPr>
              <w:t>需提供软件著作权</w:t>
            </w:r>
            <w:r>
              <w:rPr>
                <w:rFonts w:hint="eastAsia"/>
                <w:color w:val="000000"/>
                <w:szCs w:val="21"/>
              </w:rPr>
              <w:t>证书</w:t>
            </w:r>
            <w:r>
              <w:rPr>
                <w:color w:val="000000"/>
                <w:szCs w:val="21"/>
              </w:rPr>
              <w:t>。</w:t>
            </w:r>
          </w:p>
        </w:tc>
        <w:tc>
          <w:tcPr>
            <w:tcW w:w="992" w:type="dxa"/>
            <w:vAlign w:val="center"/>
          </w:tcPr>
          <w:p>
            <w:pPr>
              <w:rPr>
                <w:szCs w:val="21"/>
              </w:rPr>
            </w:pPr>
          </w:p>
        </w:tc>
        <w:tc>
          <w:tcPr>
            <w:tcW w:w="2410" w:type="dxa"/>
            <w:vAlign w:val="center"/>
          </w:tcPr>
          <w:p>
            <w:pPr>
              <w:rPr>
                <w:rFonts w:hint="eastAsia"/>
                <w:szCs w:val="21"/>
              </w:rPr>
            </w:pPr>
          </w:p>
        </w:tc>
        <w:tc>
          <w:tcPr>
            <w:tcW w:w="2410" w:type="dxa"/>
          </w:tcPr>
          <w:p>
            <w:pPr>
              <w:rPr>
                <w:rFonts w:hint="eastAsia"/>
                <w:szCs w:val="21"/>
              </w:rPr>
            </w:pPr>
          </w:p>
        </w:tc>
      </w:tr>
    </w:tbl>
    <w:p>
      <w:pPr>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★1、</w:t>
      </w:r>
      <w:r>
        <w:rPr>
          <w:rFonts w:ascii="宋体" w:hAnsi="宋体"/>
          <w:b/>
          <w:color w:val="000000" w:themeColor="text1"/>
          <w:sz w:val="24"/>
          <w14:textFill>
            <w14:solidFill>
              <w14:schemeClr w14:val="tx1"/>
            </w14:solidFill>
          </w14:textFill>
        </w:rPr>
        <w:t>中标方必须保证与学</w:t>
      </w:r>
      <w:r>
        <w:rPr>
          <w:rFonts w:hint="eastAsia" w:ascii="宋体" w:hAnsi="宋体"/>
          <w:b/>
          <w:color w:val="000000" w:themeColor="text1"/>
          <w:sz w:val="24"/>
          <w14:textFill>
            <w14:solidFill>
              <w14:schemeClr w14:val="tx1"/>
            </w14:solidFill>
          </w14:textFill>
        </w:rPr>
        <w:t>院</w:t>
      </w:r>
      <w:r>
        <w:rPr>
          <w:rFonts w:ascii="宋体" w:hAnsi="宋体"/>
          <w:b/>
          <w:color w:val="000000" w:themeColor="text1"/>
          <w:sz w:val="24"/>
          <w14:textFill>
            <w14:solidFill>
              <w14:schemeClr w14:val="tx1"/>
            </w14:solidFill>
          </w14:textFill>
        </w:rPr>
        <w:t>原来广播系统进行无缝对接，本项目为交钥匙</w:t>
      </w:r>
      <w:r>
        <w:rPr>
          <w:rFonts w:hint="eastAsia" w:ascii="宋体" w:hAnsi="宋体"/>
          <w:b/>
          <w:color w:val="000000" w:themeColor="text1"/>
          <w:sz w:val="24"/>
          <w14:textFill>
            <w14:solidFill>
              <w14:schemeClr w14:val="tx1"/>
            </w14:solidFill>
          </w14:textFill>
        </w:rPr>
        <w:t>项目</w:t>
      </w:r>
      <w:r>
        <w:rPr>
          <w:rFonts w:ascii="宋体" w:hAnsi="宋体"/>
          <w:b/>
          <w:color w:val="000000" w:themeColor="text1"/>
          <w:sz w:val="24"/>
          <w14:textFill>
            <w14:solidFill>
              <w14:schemeClr w14:val="tx1"/>
            </w14:solidFill>
          </w14:textFill>
        </w:rPr>
        <w:t>，</w:t>
      </w:r>
      <w:r>
        <w:rPr>
          <w:rFonts w:hint="eastAsia" w:ascii="宋体" w:hAnsi="宋体"/>
          <w:b/>
          <w:color w:val="000000" w:themeColor="text1"/>
          <w:sz w:val="24"/>
          <w14:textFill>
            <w14:solidFill>
              <w14:schemeClr w14:val="tx1"/>
            </w14:solidFill>
          </w14:textFill>
        </w:rPr>
        <w:t>总</w:t>
      </w:r>
      <w:r>
        <w:rPr>
          <w:rFonts w:ascii="宋体" w:hAnsi="宋体"/>
          <w:b/>
          <w:color w:val="000000" w:themeColor="text1"/>
          <w:sz w:val="24"/>
          <w14:textFill>
            <w14:solidFill>
              <w14:schemeClr w14:val="tx1"/>
            </w14:solidFill>
          </w14:textFill>
        </w:rPr>
        <w:t>包干价，如需增加其他</w:t>
      </w:r>
      <w:r>
        <w:rPr>
          <w:rFonts w:hint="eastAsia" w:ascii="宋体" w:hAnsi="宋体"/>
          <w:b/>
          <w:color w:val="000000" w:themeColor="text1"/>
          <w:sz w:val="24"/>
          <w14:textFill>
            <w14:solidFill>
              <w14:schemeClr w14:val="tx1"/>
            </w14:solidFill>
          </w14:textFill>
        </w:rPr>
        <w:t>设备</w:t>
      </w:r>
      <w:r>
        <w:rPr>
          <w:rFonts w:ascii="宋体" w:hAnsi="宋体"/>
          <w:b/>
          <w:color w:val="000000" w:themeColor="text1"/>
          <w:sz w:val="24"/>
          <w14:textFill>
            <w14:solidFill>
              <w14:schemeClr w14:val="tx1"/>
            </w14:solidFill>
          </w14:textFill>
        </w:rPr>
        <w:t>或工程量，由中标方自行承担。</w:t>
      </w:r>
    </w:p>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w:t>
      </w:r>
      <w:r>
        <w:rPr>
          <w:rFonts w:hint="eastAsia" w:ascii="宋体" w:hAnsi="宋体"/>
          <w:color w:val="000000" w:themeColor="text1"/>
          <w:sz w:val="24"/>
          <w14:textFill>
            <w14:solidFill>
              <w14:schemeClr w14:val="tx1"/>
            </w14:solidFill>
          </w14:textFill>
        </w:rPr>
        <w:t>. 以上主要设备中标</w:t>
      </w:r>
      <w:r>
        <w:rPr>
          <w:rFonts w:ascii="宋体" w:hAnsi="宋体"/>
          <w:color w:val="000000" w:themeColor="text1"/>
          <w:sz w:val="24"/>
          <w14:textFill>
            <w14:solidFill>
              <w14:schemeClr w14:val="tx1"/>
            </w14:solidFill>
          </w14:textFill>
        </w:rPr>
        <w:t>方</w:t>
      </w:r>
      <w:r>
        <w:rPr>
          <w:rFonts w:hint="eastAsia" w:ascii="宋体" w:hAnsi="宋体"/>
          <w:color w:val="000000" w:themeColor="text1"/>
          <w:sz w:val="24"/>
          <w14:textFill>
            <w14:solidFill>
              <w14:schemeClr w14:val="tx1"/>
            </w14:solidFill>
          </w14:textFill>
        </w:rPr>
        <w:t>在</w:t>
      </w:r>
      <w:r>
        <w:rPr>
          <w:rFonts w:ascii="宋体" w:hAnsi="宋体"/>
          <w:color w:val="000000" w:themeColor="text1"/>
          <w:sz w:val="24"/>
          <w14:textFill>
            <w14:solidFill>
              <w14:schemeClr w14:val="tx1"/>
            </w14:solidFill>
          </w14:textFill>
        </w:rPr>
        <w:t>供</w:t>
      </w:r>
      <w:r>
        <w:rPr>
          <w:rFonts w:hint="eastAsia" w:ascii="宋体" w:hAnsi="宋体"/>
          <w:color w:val="000000" w:themeColor="text1"/>
          <w:sz w:val="24"/>
          <w14:textFill>
            <w14:solidFill>
              <w14:schemeClr w14:val="tx1"/>
            </w14:solidFill>
          </w14:textFill>
        </w:rPr>
        <w:t>设备</w:t>
      </w:r>
      <w:r>
        <w:rPr>
          <w:rFonts w:ascii="宋体" w:hAnsi="宋体"/>
          <w:color w:val="000000" w:themeColor="text1"/>
          <w:sz w:val="24"/>
          <w14:textFill>
            <w14:solidFill>
              <w14:schemeClr w14:val="tx1"/>
            </w14:solidFill>
          </w14:textFill>
        </w:rPr>
        <w:t>时</w:t>
      </w:r>
      <w:r>
        <w:rPr>
          <w:rFonts w:hint="eastAsia" w:ascii="宋体" w:hAnsi="宋体"/>
          <w:color w:val="000000" w:themeColor="text1"/>
          <w:sz w:val="24"/>
          <w14:textFill>
            <w14:solidFill>
              <w14:schemeClr w14:val="tx1"/>
            </w14:solidFill>
          </w14:textFill>
        </w:rPr>
        <w:t>需提供</w:t>
      </w:r>
      <w:r>
        <w:rPr>
          <w:rFonts w:ascii="宋体" w:hAnsi="宋体"/>
          <w:color w:val="000000" w:themeColor="text1"/>
          <w:sz w:val="24"/>
          <w14:textFill>
            <w14:solidFill>
              <w14:schemeClr w14:val="tx1"/>
            </w14:solidFill>
          </w14:textFill>
        </w:rPr>
        <w:t>产品的</w:t>
      </w:r>
      <w:r>
        <w:rPr>
          <w:rFonts w:ascii="宋体" w:hAnsi="宋体"/>
          <w:b/>
          <w:color w:val="000000" w:themeColor="text1"/>
          <w:sz w:val="24"/>
          <w14:textFill>
            <w14:solidFill>
              <w14:schemeClr w14:val="tx1"/>
            </w14:solidFill>
          </w14:textFill>
        </w:rPr>
        <w:t>原厂</w:t>
      </w:r>
      <w:r>
        <w:rPr>
          <w:rFonts w:hint="eastAsia" w:ascii="宋体" w:hAnsi="宋体"/>
          <w:b/>
          <w:color w:val="000000" w:themeColor="text1"/>
          <w:sz w:val="24"/>
          <w14:textFill>
            <w14:solidFill>
              <w14:schemeClr w14:val="tx1"/>
            </w14:solidFill>
          </w14:textFill>
        </w:rPr>
        <w:t>授权证明、并</w:t>
      </w:r>
      <w:r>
        <w:rPr>
          <w:rFonts w:ascii="宋体" w:hAnsi="宋体"/>
          <w:b/>
          <w:color w:val="000000" w:themeColor="text1"/>
          <w:sz w:val="24"/>
          <w14:textFill>
            <w14:solidFill>
              <w14:schemeClr w14:val="tx1"/>
            </w14:solidFill>
          </w14:textFill>
        </w:rPr>
        <w:t>出具原厂质保证明</w:t>
      </w:r>
      <w:r>
        <w:rPr>
          <w:rFonts w:hint="eastAsia" w:ascii="宋体" w:hAnsi="宋体"/>
          <w:color w:val="000000" w:themeColor="text1"/>
          <w:sz w:val="24"/>
          <w14:textFill>
            <w14:solidFill>
              <w14:schemeClr w14:val="tx1"/>
            </w14:solidFill>
          </w14:textFill>
        </w:rPr>
        <w:t>。</w:t>
      </w:r>
      <w:r>
        <w:rPr>
          <w:rFonts w:hint="eastAsia" w:ascii="宋体" w:hAnsi="宋体"/>
          <w:b/>
          <w:color w:val="000000" w:themeColor="text1"/>
          <w:sz w:val="24"/>
          <w14:textFill>
            <w14:solidFill>
              <w14:schemeClr w14:val="tx1"/>
            </w14:solidFill>
          </w14:textFill>
        </w:rPr>
        <w:t>质保期三年及以上。</w:t>
      </w:r>
      <w:r>
        <w:rPr>
          <w:rFonts w:hint="eastAsia" w:ascii="宋体" w:hAnsi="宋体"/>
          <w:color w:val="000000" w:themeColor="text1"/>
          <w:sz w:val="24"/>
          <w14:textFill>
            <w14:solidFill>
              <w14:schemeClr w14:val="tx1"/>
            </w14:solidFill>
          </w14:textFill>
        </w:rPr>
        <w:t>中标单位三个工作日内到院方按照招标要求演示所有功能，如果不符合招标要求取消中标资格并</w:t>
      </w:r>
      <w:r>
        <w:rPr>
          <w:rFonts w:hint="eastAsia" w:ascii="宋体" w:hAnsi="宋体"/>
          <w:color w:val="000000" w:themeColor="text1"/>
          <w:sz w:val="24"/>
          <w:lang w:eastAsia="zh-CN"/>
          <w14:textFill>
            <w14:solidFill>
              <w14:schemeClr w14:val="tx1"/>
            </w14:solidFill>
          </w14:textFill>
        </w:rPr>
        <w:t>不退</w:t>
      </w:r>
      <w:r>
        <w:rPr>
          <w:rFonts w:hint="eastAsia" w:ascii="宋体" w:hAnsi="宋体"/>
          <w:color w:val="000000" w:themeColor="text1"/>
          <w:sz w:val="24"/>
          <w14:textFill>
            <w14:solidFill>
              <w14:schemeClr w14:val="tx1"/>
            </w14:solidFill>
          </w14:textFill>
        </w:rPr>
        <w:t>保证金。</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0DD"/>
    <w:rsid w:val="00042570"/>
    <w:rsid w:val="00056053"/>
    <w:rsid w:val="000F306B"/>
    <w:rsid w:val="00116EBB"/>
    <w:rsid w:val="001B717F"/>
    <w:rsid w:val="00293571"/>
    <w:rsid w:val="00304DB7"/>
    <w:rsid w:val="00371781"/>
    <w:rsid w:val="003B6B5B"/>
    <w:rsid w:val="004C723C"/>
    <w:rsid w:val="004E6516"/>
    <w:rsid w:val="0051592D"/>
    <w:rsid w:val="00542120"/>
    <w:rsid w:val="005F50DD"/>
    <w:rsid w:val="00603D40"/>
    <w:rsid w:val="006958DD"/>
    <w:rsid w:val="00795342"/>
    <w:rsid w:val="00823915"/>
    <w:rsid w:val="00872AF9"/>
    <w:rsid w:val="008C105D"/>
    <w:rsid w:val="00913464"/>
    <w:rsid w:val="00A438BB"/>
    <w:rsid w:val="00A87A29"/>
    <w:rsid w:val="00B31DB4"/>
    <w:rsid w:val="00B60A6B"/>
    <w:rsid w:val="00BA1362"/>
    <w:rsid w:val="00BD5992"/>
    <w:rsid w:val="00C610D7"/>
    <w:rsid w:val="00C86FED"/>
    <w:rsid w:val="00CC1E19"/>
    <w:rsid w:val="00D608B9"/>
    <w:rsid w:val="00D92873"/>
    <w:rsid w:val="00E222A1"/>
    <w:rsid w:val="00E25312"/>
    <w:rsid w:val="00E455A6"/>
    <w:rsid w:val="00E87FAE"/>
    <w:rsid w:val="00EA05E4"/>
    <w:rsid w:val="00EA2F57"/>
    <w:rsid w:val="00EB3F04"/>
    <w:rsid w:val="00F25E9B"/>
    <w:rsid w:val="082E19D5"/>
    <w:rsid w:val="762F1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6</Pages>
  <Words>412</Words>
  <Characters>2351</Characters>
  <Lines>19</Lines>
  <Paragraphs>5</Paragraphs>
  <TotalTime>2</TotalTime>
  <ScaleCrop>false</ScaleCrop>
  <LinksUpToDate>false</LinksUpToDate>
  <CharactersWithSpaces>2758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2018-06-22T02:11:00Z</dcterms:created>
  <dc:creator>user</dc:creator>
  <cp:lastModifiedBy>悠悠紫</cp:lastModifiedBy>
  <cp:lastPrinted>2019-03-15T02:05:00Z</cp:lastPrinted>
  <dcterms:modified xsi:type="dcterms:W3CDTF">2019-03-26T10:43:24Z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