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jpeg" ContentType="image/jpeg"/>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1"/>
        </w:rPr>
      </w:pPr>
    </w:p>
    <w:p>
      <w:pPr>
        <w:spacing w:after="0"/>
        <w:rPr>
          <w:rFonts w:ascii="Times New Roman"/>
          <w:sz w:val="21"/>
        </w:rPr>
        <w:sectPr>
          <w:footerReference w:type="default" r:id="rId5"/>
          <w:footerReference w:type="even" r:id="rId6"/>
          <w:type w:val="continuous"/>
          <w:pgSz w:w="11900" w:h="16840"/>
          <w:pgMar w:footer="1522" w:top="1600" w:bottom="1720" w:left="1400" w:right="1260"/>
          <w:pgNumType w:start="1"/>
        </w:sectPr>
      </w:pPr>
    </w:p>
    <w:p>
      <w:pPr>
        <w:spacing w:line="194" w:lineRule="auto" w:before="235"/>
        <w:ind w:left="2248" w:right="0" w:firstLine="0"/>
        <w:jc w:val="left"/>
        <w:rPr>
          <w:sz w:val="52"/>
        </w:rPr>
      </w:pPr>
      <w:r>
        <w:rPr/>
        <w:pict>
          <v:shape style="position:absolute;margin-left:81.839996pt;margin-top:4.996267pt;width:89.8pt;height:60pt;mso-position-horizontal-relative:page;mso-position-vertical-relative:paragraph;z-index:1048" type="#_x0000_t202" filled="false" stroked="false">
            <v:textbox inset="0,0,0,0">
              <w:txbxContent>
                <w:p>
                  <w:pPr>
                    <w:spacing w:line="1200" w:lineRule="exact" w:before="0"/>
                    <w:ind w:left="0" w:right="0" w:firstLine="0"/>
                    <w:jc w:val="left"/>
                    <w:rPr>
                      <w:sz w:val="120"/>
                    </w:rPr>
                  </w:pPr>
                  <w:r>
                    <w:rPr>
                      <w:color w:val="FF0000"/>
                      <w:spacing w:val="-4"/>
                      <w:w w:val="50"/>
                      <w:sz w:val="120"/>
                    </w:rPr>
                    <w:t>江苏省</w:t>
                  </w:r>
                </w:p>
              </w:txbxContent>
            </v:textbox>
            <w10:wrap type="none"/>
          </v:shape>
        </w:pict>
      </w:r>
      <w:r>
        <w:rPr>
          <w:color w:val="FF0000"/>
          <w:spacing w:val="-48"/>
          <w:w w:val="75"/>
          <w:sz w:val="52"/>
        </w:rPr>
        <w:t>专 业 技 术 人 员</w:t>
      </w:r>
      <w:r>
        <w:rPr>
          <w:color w:val="FF0000"/>
          <w:spacing w:val="19"/>
          <w:w w:val="60"/>
          <w:sz w:val="52"/>
        </w:rPr>
        <w:t>职称</w:t>
      </w:r>
      <w:r>
        <w:rPr>
          <w:color w:val="FF0000"/>
          <w:spacing w:val="24"/>
          <w:w w:val="60"/>
          <w:sz w:val="52"/>
        </w:rPr>
        <w:t>（</w:t>
      </w:r>
      <w:r>
        <w:rPr>
          <w:color w:val="FF0000"/>
          <w:spacing w:val="19"/>
          <w:w w:val="60"/>
          <w:sz w:val="52"/>
        </w:rPr>
        <w:t>职业资格</w:t>
      </w:r>
      <w:r>
        <w:rPr>
          <w:color w:val="FF0000"/>
          <w:spacing w:val="-18"/>
          <w:w w:val="60"/>
          <w:sz w:val="52"/>
        </w:rPr>
        <w:t>）</w:t>
      </w:r>
    </w:p>
    <w:p>
      <w:pPr>
        <w:spacing w:line="1460" w:lineRule="exact" w:before="0"/>
        <w:ind w:left="190" w:right="0" w:firstLine="0"/>
        <w:jc w:val="left"/>
        <w:rPr>
          <w:sz w:val="120"/>
        </w:rPr>
      </w:pPr>
      <w:r>
        <w:rPr/>
        <w:br w:type="column"/>
      </w:r>
      <w:r>
        <w:rPr>
          <w:color w:val="FF0000"/>
          <w:w w:val="50"/>
          <w:sz w:val="120"/>
        </w:rPr>
        <w:t>工作领导小组</w:t>
      </w:r>
    </w:p>
    <w:p>
      <w:pPr>
        <w:spacing w:after="0" w:line="1460" w:lineRule="exact"/>
        <w:jc w:val="left"/>
        <w:rPr>
          <w:sz w:val="120"/>
        </w:rPr>
        <w:sectPr>
          <w:type w:val="continuous"/>
          <w:pgSz w:w="11900" w:h="16840"/>
          <w:pgMar w:top="1600" w:bottom="1720" w:left="1400" w:right="1260"/>
          <w:cols w:num="2" w:equalWidth="0">
            <w:col w:w="5080" w:space="40"/>
            <w:col w:w="4120"/>
          </w:cols>
        </w:sectPr>
      </w:pPr>
    </w:p>
    <w:p>
      <w:pPr>
        <w:pStyle w:val="BodyText"/>
        <w:rPr>
          <w:sz w:val="18"/>
        </w:rPr>
      </w:pPr>
      <w:r>
        <w:rPr/>
        <w:pict>
          <v:group style="position:absolute;margin-left:53.759998pt;margin-top:236.960007pt;width:487.2pt;height:2.9pt;mso-position-horizontal-relative:page;mso-position-vertical-relative:page;z-index:-8656" coordorigin="1075,4739" coordsize="9744,58">
            <v:line style="position:absolute" from="1075,4768" to="1397,4768" stroked="true" strokeweight="2.88pt" strokecolor="#ff0000">
              <v:stroke dashstyle="solid"/>
            </v:line>
            <v:rect style="position:absolute;left:1382;top:4739;width:58;height:58" filled="true" fillcolor="#ff0000" stroked="false">
              <v:fill type="solid"/>
            </v:rect>
            <v:line style="position:absolute" from="1440,4768" to="10483,4768" stroked="true" strokeweight="2.88pt" strokecolor="#ff0000">
              <v:stroke dashstyle="solid"/>
            </v:line>
            <v:rect style="position:absolute;left:10468;top:4739;width:58;height:58" filled="true" fillcolor="#ff0000" stroked="false">
              <v:fill type="solid"/>
            </v:rect>
            <v:line style="position:absolute" from="10526,4768" to="10819,4768" stroked="true" strokeweight="2.88pt" strokecolor="#ff0000">
              <v:stroke dashstyle="solid"/>
            </v:line>
            <w10:wrap type="none"/>
          </v:group>
        </w:pict>
      </w:r>
    </w:p>
    <w:p>
      <w:pPr>
        <w:pStyle w:val="BodyText"/>
        <w:spacing w:before="67"/>
        <w:ind w:left="3054"/>
      </w:pPr>
      <w:r>
        <w:rPr/>
        <w:t>苏职称〔</w:t>
      </w:r>
      <w:r>
        <w:rPr>
          <w:rFonts w:ascii="Times New Roman" w:eastAsia="Times New Roman"/>
        </w:rPr>
        <w:t>2021</w:t>
      </w:r>
      <w:r>
        <w:rPr/>
        <w:t>〕</w:t>
      </w:r>
      <w:r>
        <w:rPr>
          <w:rFonts w:ascii="Times New Roman" w:eastAsia="Times New Roman"/>
        </w:rPr>
        <w:t>65 </w:t>
      </w:r>
      <w:r>
        <w:rPr/>
        <w:t>号</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5"/>
        </w:rPr>
      </w:pPr>
    </w:p>
    <w:p>
      <w:pPr>
        <w:pStyle w:val="Heading1"/>
        <w:spacing w:line="261" w:lineRule="auto"/>
        <w:ind w:right="250"/>
      </w:pPr>
      <w:r>
        <w:rPr>
          <w:spacing w:val="-23"/>
        </w:rPr>
        <w:t>省专业技术人员职称</w:t>
      </w:r>
      <w:r>
        <w:rPr>
          <w:spacing w:val="-20"/>
        </w:rPr>
        <w:t>（</w:t>
      </w:r>
      <w:r>
        <w:rPr>
          <w:spacing w:val="-19"/>
        </w:rPr>
        <w:t>职业资格</w:t>
      </w:r>
      <w:r>
        <w:rPr>
          <w:spacing w:val="-48"/>
        </w:rPr>
        <w:t>）</w:t>
      </w:r>
      <w:r>
        <w:rPr>
          <w:spacing w:val="-18"/>
        </w:rPr>
        <w:t>工作领导小组</w:t>
      </w:r>
      <w:r>
        <w:rPr>
          <w:spacing w:val="-5"/>
        </w:rPr>
        <w:t>关于印发《江苏省高等学校教育管理研究</w:t>
      </w:r>
    </w:p>
    <w:p>
      <w:pPr>
        <w:spacing w:line="559" w:lineRule="exact" w:before="0"/>
        <w:ind w:left="1470" w:right="0" w:firstLine="0"/>
        <w:jc w:val="left"/>
        <w:rPr>
          <w:sz w:val="44"/>
        </w:rPr>
      </w:pPr>
      <w:r>
        <w:rPr>
          <w:sz w:val="44"/>
        </w:rPr>
        <w:t>人员专业技术资格条件》的通知</w:t>
      </w:r>
    </w:p>
    <w:p>
      <w:pPr>
        <w:pStyle w:val="BodyText"/>
        <w:spacing w:before="6"/>
        <w:rPr>
          <w:sz w:val="60"/>
        </w:rPr>
      </w:pPr>
    </w:p>
    <w:p>
      <w:pPr>
        <w:pStyle w:val="BodyText"/>
        <w:spacing w:line="357" w:lineRule="auto"/>
        <w:ind w:left="769" w:right="261" w:hanging="639"/>
      </w:pPr>
      <w:r>
        <w:rPr>
          <w:spacing w:val="-5"/>
        </w:rPr>
        <w:t>各高等学校，各设区市人力资源和社会保障局，省有关单位： </w:t>
      </w:r>
      <w:r>
        <w:rPr>
          <w:spacing w:val="3"/>
        </w:rPr>
        <w:t>现将《江苏省高等学校教育管理研究人员专业技术资格条</w:t>
      </w:r>
    </w:p>
    <w:p>
      <w:pPr>
        <w:pStyle w:val="BodyText"/>
        <w:spacing w:line="357" w:lineRule="auto"/>
        <w:ind w:left="131" w:right="260"/>
      </w:pPr>
      <w:r>
        <w:rPr>
          <w:spacing w:val="-13"/>
        </w:rPr>
        <w:t>件》印发给你们，请认真贯彻执行。在执行中有何意见，请及时</w:t>
      </w:r>
      <w:r>
        <w:rPr>
          <w:spacing w:val="-2"/>
        </w:rPr>
        <w:t>告知省职称办。</w:t>
      </w:r>
    </w:p>
    <w:p>
      <w:pPr>
        <w:pStyle w:val="BodyText"/>
        <w:spacing w:line="357" w:lineRule="auto"/>
        <w:ind w:left="131" w:right="260" w:firstLine="638"/>
        <w:jc w:val="both"/>
      </w:pPr>
      <w:r>
        <w:rPr>
          <w:spacing w:val="-12"/>
        </w:rPr>
        <w:t>本资格条件自 </w:t>
      </w:r>
      <w:r>
        <w:rPr>
          <w:rFonts w:ascii="Times New Roman" w:eastAsia="Times New Roman"/>
        </w:rPr>
        <w:t>2022 </w:t>
      </w:r>
      <w:r>
        <w:rPr>
          <w:spacing w:val="-35"/>
        </w:rPr>
        <w:t>年 </w:t>
      </w:r>
      <w:r>
        <w:rPr>
          <w:rFonts w:ascii="Times New Roman" w:eastAsia="Times New Roman"/>
        </w:rPr>
        <w:t>1 </w:t>
      </w:r>
      <w:r>
        <w:rPr>
          <w:spacing w:val="-35"/>
        </w:rPr>
        <w:t>月 </w:t>
      </w:r>
      <w:r>
        <w:rPr>
          <w:rFonts w:ascii="Times New Roman" w:eastAsia="Times New Roman"/>
        </w:rPr>
        <w:t>1 </w:t>
      </w:r>
      <w:r>
        <w:rPr>
          <w:spacing w:val="-4"/>
        </w:rPr>
        <w:t>日起执行，江苏省专业技术人</w:t>
      </w:r>
      <w:r>
        <w:rPr>
          <w:spacing w:val="-13"/>
        </w:rPr>
        <w:t>员职称</w:t>
      </w:r>
      <w:r>
        <w:rPr>
          <w:spacing w:val="-5"/>
        </w:rPr>
        <w:t>（</w:t>
      </w:r>
      <w:r>
        <w:rPr>
          <w:spacing w:val="-2"/>
        </w:rPr>
        <w:t>职业资格</w:t>
      </w:r>
      <w:r>
        <w:rPr>
          <w:spacing w:val="-44"/>
        </w:rPr>
        <w:t>）</w:t>
      </w:r>
      <w:r>
        <w:rPr>
          <w:spacing w:val="-9"/>
        </w:rPr>
        <w:t>工作领导小组关于印发《江苏省本科院校教</w:t>
      </w:r>
      <w:r>
        <w:rPr>
          <w:spacing w:val="-13"/>
        </w:rPr>
        <w:t>师评价标准》等 </w:t>
      </w:r>
      <w:r>
        <w:rPr>
          <w:rFonts w:ascii="Times New Roman" w:eastAsia="Times New Roman"/>
        </w:rPr>
        <w:t>5 </w:t>
      </w:r>
      <w:r>
        <w:rPr>
          <w:spacing w:val="-6"/>
        </w:rPr>
        <w:t>个评价标准的通知</w:t>
      </w:r>
      <w:r>
        <w:rPr/>
        <w:t>（</w:t>
      </w:r>
      <w:r>
        <w:rPr>
          <w:spacing w:val="-2"/>
        </w:rPr>
        <w:t>苏职称</w:t>
      </w:r>
      <w:r>
        <w:rPr/>
        <w:t>﹝</w:t>
      </w:r>
      <w:r>
        <w:rPr>
          <w:rFonts w:ascii="Times New Roman" w:eastAsia="Times New Roman"/>
        </w:rPr>
        <w:t>2017</w:t>
      </w:r>
      <w:r>
        <w:rPr/>
        <w:t>﹞</w:t>
      </w:r>
      <w:r>
        <w:rPr>
          <w:rFonts w:ascii="Times New Roman" w:eastAsia="Times New Roman"/>
        </w:rPr>
        <w:t>4 </w:t>
      </w:r>
      <w:r>
        <w:rPr>
          <w:spacing w:val="-5"/>
        </w:rPr>
        <w:t>号</w:t>
      </w:r>
      <w:r>
        <w:rPr>
          <w:spacing w:val="-10"/>
        </w:rPr>
        <w:t>）</w:t>
      </w:r>
      <w:r>
        <w:rPr/>
        <w:t>中</w:t>
      </w:r>
      <w:r>
        <w:rPr>
          <w:spacing w:val="-5"/>
        </w:rPr>
        <w:t>的《江苏省高等学校教育管理研究人员评价标准》同时废止。</w:t>
      </w:r>
    </w:p>
    <w:p>
      <w:pPr>
        <w:spacing w:after="0" w:line="357" w:lineRule="auto"/>
        <w:jc w:val="both"/>
        <w:sectPr>
          <w:type w:val="continuous"/>
          <w:pgSz w:w="11900" w:h="16840"/>
          <w:pgMar w:top="1600" w:bottom="1720" w:left="1400" w:right="1260"/>
        </w:sectPr>
      </w:pPr>
    </w:p>
    <w:p>
      <w:pPr>
        <w:pStyle w:val="BodyText"/>
        <w:rPr>
          <w:sz w:val="20"/>
        </w:rPr>
      </w:pPr>
    </w:p>
    <w:p>
      <w:pPr>
        <w:pStyle w:val="BodyText"/>
        <w:spacing w:before="2"/>
        <w:rPr>
          <w:sz w:val="23"/>
        </w:rPr>
      </w:pPr>
    </w:p>
    <w:p>
      <w:pPr>
        <w:pStyle w:val="BodyText"/>
        <w:spacing w:before="58"/>
        <w:ind w:left="131"/>
      </w:pPr>
      <w:r>
        <w:rPr/>
        <w:drawing>
          <wp:anchor distT="0" distB="0" distL="0" distR="0" allowOverlap="1" layoutInCell="1" locked="0" behindDoc="1" simplePos="0" relativeHeight="268426847">
            <wp:simplePos x="0" y="0"/>
            <wp:positionH relativeFrom="page">
              <wp:posOffset>3340608</wp:posOffset>
            </wp:positionH>
            <wp:positionV relativeFrom="paragraph">
              <wp:posOffset>474726</wp:posOffset>
            </wp:positionV>
            <wp:extent cx="1584960" cy="1548383"/>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1584960" cy="1548383"/>
                    </a:xfrm>
                    <a:prstGeom prst="rect">
                      <a:avLst/>
                    </a:prstGeom>
                  </pic:spPr>
                </pic:pic>
              </a:graphicData>
            </a:graphic>
          </wp:anchor>
        </w:drawing>
      </w:r>
      <w:r>
        <w:rPr/>
        <w:t>（此页无正文）</w:t>
      </w:r>
    </w:p>
    <w:p>
      <w:pPr>
        <w:pStyle w:val="BodyText"/>
        <w:rPr>
          <w:sz w:val="36"/>
        </w:rPr>
      </w:pPr>
    </w:p>
    <w:p>
      <w:pPr>
        <w:pStyle w:val="BodyText"/>
        <w:rPr>
          <w:sz w:val="36"/>
        </w:rPr>
      </w:pPr>
    </w:p>
    <w:p>
      <w:pPr>
        <w:pStyle w:val="BodyText"/>
        <w:spacing w:before="9"/>
        <w:rPr>
          <w:sz w:val="38"/>
        </w:rPr>
      </w:pPr>
    </w:p>
    <w:p>
      <w:pPr>
        <w:pStyle w:val="BodyText"/>
        <w:ind w:left="872" w:right="250"/>
        <w:jc w:val="center"/>
      </w:pPr>
      <w:r>
        <w:rPr/>
        <w:t>江苏省专业技术人员职称（职业资格）工作领导小组</w:t>
      </w:r>
    </w:p>
    <w:p>
      <w:pPr>
        <w:pStyle w:val="BodyText"/>
        <w:spacing w:before="205"/>
        <w:ind w:left="470" w:right="250"/>
        <w:jc w:val="center"/>
      </w:pPr>
      <w:r>
        <w:rPr>
          <w:rFonts w:ascii="Times New Roman" w:eastAsia="Times New Roman"/>
        </w:rPr>
        <w:t>2021 </w:t>
      </w:r>
      <w:r>
        <w:rPr/>
        <w:t>年 </w:t>
      </w:r>
      <w:r>
        <w:rPr>
          <w:rFonts w:ascii="Times New Roman" w:eastAsia="Times New Roman"/>
        </w:rPr>
        <w:t>12 </w:t>
      </w:r>
      <w:r>
        <w:rPr/>
        <w:t>月 </w:t>
      </w:r>
      <w:r>
        <w:rPr>
          <w:rFonts w:ascii="Times New Roman" w:eastAsia="Times New Roman"/>
        </w:rPr>
        <w:t>9 </w:t>
      </w:r>
      <w:r>
        <w:rPr/>
        <w:t>日</w:t>
      </w:r>
    </w:p>
    <w:p>
      <w:pPr>
        <w:pStyle w:val="BodyText"/>
        <w:rPr>
          <w:sz w:val="38"/>
        </w:rPr>
      </w:pPr>
    </w:p>
    <w:p>
      <w:pPr>
        <w:pStyle w:val="BodyText"/>
        <w:spacing w:before="322"/>
        <w:ind w:left="769"/>
      </w:pPr>
      <w:r>
        <w:rPr/>
        <w:t>（此件公开发布）</w:t>
      </w:r>
    </w:p>
    <w:p>
      <w:pPr>
        <w:pStyle w:val="BodyText"/>
        <w:spacing w:before="200"/>
        <w:ind w:left="769"/>
      </w:pPr>
      <w:r>
        <w:rPr/>
        <w:t>（联系单位：省人力资源社会保障厅专业技术人员管理处）</w:t>
      </w:r>
    </w:p>
    <w:p>
      <w:pPr>
        <w:spacing w:after="0"/>
        <w:sectPr>
          <w:pgSz w:w="11900" w:h="16840"/>
          <w:pgMar w:header="0" w:footer="1522" w:top="1600" w:bottom="1720" w:left="1400" w:right="1260"/>
        </w:sectPr>
      </w:pPr>
    </w:p>
    <w:p>
      <w:pPr>
        <w:pStyle w:val="BodyText"/>
        <w:rPr>
          <w:sz w:val="20"/>
        </w:rPr>
      </w:pPr>
    </w:p>
    <w:p>
      <w:pPr>
        <w:pStyle w:val="BodyText"/>
        <w:rPr>
          <w:sz w:val="20"/>
        </w:rPr>
      </w:pPr>
    </w:p>
    <w:p>
      <w:pPr>
        <w:pStyle w:val="BodyText"/>
        <w:rPr>
          <w:sz w:val="20"/>
        </w:rPr>
      </w:pPr>
    </w:p>
    <w:p>
      <w:pPr>
        <w:pStyle w:val="BodyText"/>
        <w:spacing w:before="8"/>
        <w:rPr>
          <w:sz w:val="22"/>
        </w:rPr>
      </w:pPr>
    </w:p>
    <w:p>
      <w:pPr>
        <w:pStyle w:val="Heading1"/>
        <w:spacing w:line="259" w:lineRule="auto"/>
        <w:ind w:left="1249" w:right="1383"/>
      </w:pPr>
      <w:r>
        <w:rPr/>
        <w:t>江苏省高等学校教育管理研究人员专业技术资格条件</w:t>
      </w:r>
    </w:p>
    <w:p>
      <w:pPr>
        <w:pStyle w:val="BodyText"/>
        <w:rPr>
          <w:sz w:val="73"/>
        </w:rPr>
      </w:pPr>
    </w:p>
    <w:p>
      <w:pPr>
        <w:pStyle w:val="Heading2"/>
        <w:ind w:left="107" w:right="250"/>
      </w:pPr>
      <w:r>
        <w:rPr/>
        <w:t>第一章 总则</w:t>
      </w:r>
    </w:p>
    <w:p>
      <w:pPr>
        <w:pStyle w:val="BodyText"/>
        <w:spacing w:before="6"/>
        <w:rPr>
          <w:sz w:val="33"/>
        </w:rPr>
      </w:pPr>
    </w:p>
    <w:p>
      <w:pPr>
        <w:pStyle w:val="BodyText"/>
        <w:spacing w:line="357" w:lineRule="auto"/>
        <w:ind w:left="131" w:right="259" w:firstLine="638"/>
        <w:jc w:val="both"/>
      </w:pPr>
      <w:r>
        <w:rPr/>
        <w:t>第一条 为贯彻落实习近平总书记关于深入实施新时代人才</w:t>
      </w:r>
      <w:r>
        <w:rPr>
          <w:spacing w:val="-12"/>
        </w:rPr>
        <w:t>强国战略的指示要求，落实立德树人根本任务，科学、客观、公正评价我省高校教育管理研究人员工作水平和研究能力，提高教育管理人员素质，促进教育管理人员队伍建设，根据国家和省有</w:t>
      </w:r>
      <w:r>
        <w:rPr>
          <w:spacing w:val="-5"/>
        </w:rPr>
        <w:t>关政策规定，结合我省实际，特制定本资格条件。</w:t>
      </w:r>
    </w:p>
    <w:p>
      <w:pPr>
        <w:pStyle w:val="BodyText"/>
        <w:spacing w:line="357" w:lineRule="auto"/>
        <w:ind w:left="131" w:right="266" w:firstLine="638"/>
        <w:jc w:val="both"/>
      </w:pPr>
      <w:r>
        <w:rPr/>
        <w:t>第二条 本资格条件适用于我省高等学校中从事教育管理工作的在职在岗人员。</w:t>
      </w:r>
    </w:p>
    <w:p>
      <w:pPr>
        <w:pStyle w:val="BodyText"/>
        <w:spacing w:line="357" w:lineRule="auto"/>
        <w:ind w:left="131" w:right="145" w:firstLine="638"/>
        <w:jc w:val="both"/>
      </w:pPr>
      <w:r>
        <w:rPr/>
        <w:t>第三条 教育管理研究人员职称设置初级、中级、高级，其</w:t>
      </w:r>
      <w:r>
        <w:rPr>
          <w:spacing w:val="-12"/>
        </w:rPr>
        <w:t>中高级分设副高级和正高级，初级、中级、副高级、正高级职称</w:t>
      </w:r>
      <w:r>
        <w:rPr>
          <w:spacing w:val="-8"/>
        </w:rPr>
        <w:t>名称统一规范为研究实习员、助理研究员、副研究员、研究员。</w:t>
      </w:r>
    </w:p>
    <w:p>
      <w:pPr>
        <w:pStyle w:val="Heading2"/>
        <w:tabs>
          <w:tab w:pos="1439" w:val="left" w:leader="none"/>
        </w:tabs>
        <w:spacing w:before="187"/>
        <w:ind w:right="143"/>
      </w:pPr>
      <w:r>
        <w:rPr/>
        <w:t>第二章</w:t>
        <w:tab/>
        <w:t>基本条件</w:t>
      </w:r>
    </w:p>
    <w:p>
      <w:pPr>
        <w:pStyle w:val="BodyText"/>
        <w:spacing w:before="10"/>
        <w:rPr>
          <w:sz w:val="33"/>
        </w:rPr>
      </w:pPr>
    </w:p>
    <w:p>
      <w:pPr>
        <w:pStyle w:val="BodyText"/>
        <w:ind w:left="769"/>
      </w:pPr>
      <w:r>
        <w:rPr/>
        <w:t>第四条 政治素质、职业道德要求</w:t>
      </w:r>
    </w:p>
    <w:p>
      <w:pPr>
        <w:pStyle w:val="BodyText"/>
        <w:spacing w:line="357" w:lineRule="auto" w:before="200"/>
        <w:ind w:left="131" w:right="260" w:firstLine="638"/>
        <w:jc w:val="both"/>
      </w:pPr>
      <w:r>
        <w:rPr>
          <w:spacing w:val="-13"/>
        </w:rPr>
        <w:t>遵守国家宪法和法律，贯彻党的教育方针，自觉践行社会主</w:t>
      </w:r>
      <w:r>
        <w:rPr>
          <w:spacing w:val="-12"/>
        </w:rPr>
        <w:t>义核心价值观，具有良好的思想政治素质和师德师风修养，以德</w:t>
      </w:r>
    </w:p>
    <w:p>
      <w:pPr>
        <w:spacing w:after="0" w:line="357" w:lineRule="auto"/>
        <w:jc w:val="both"/>
        <w:sectPr>
          <w:pgSz w:w="11900" w:h="16840"/>
          <w:pgMar w:header="0" w:footer="1522" w:top="1600" w:bottom="1720" w:left="1400" w:right="1260"/>
        </w:sectPr>
      </w:pPr>
    </w:p>
    <w:p>
      <w:pPr>
        <w:pStyle w:val="BodyText"/>
        <w:rPr>
          <w:sz w:val="20"/>
        </w:rPr>
      </w:pPr>
    </w:p>
    <w:p>
      <w:pPr>
        <w:pStyle w:val="BodyText"/>
        <w:spacing w:before="2"/>
        <w:rPr>
          <w:sz w:val="23"/>
        </w:rPr>
      </w:pPr>
    </w:p>
    <w:p>
      <w:pPr>
        <w:pStyle w:val="BodyText"/>
        <w:spacing w:line="357" w:lineRule="auto" w:before="58"/>
        <w:ind w:left="131" w:right="255"/>
        <w:jc w:val="both"/>
      </w:pPr>
      <w:r>
        <w:rPr>
          <w:spacing w:val="-12"/>
        </w:rPr>
        <w:t>立身，以德立学，以德施教，坚持教书与育人相统一、言传与身</w:t>
      </w:r>
      <w:r>
        <w:rPr>
          <w:spacing w:val="-15"/>
        </w:rPr>
        <w:t>教相统一、潜心问道与关注社会相统一、学术自由与学术规范相统一。坚持把师德评价放在首位，对思想政治表现不合格或违背</w:t>
      </w:r>
      <w:r>
        <w:rPr>
          <w:spacing w:val="-5"/>
        </w:rPr>
        <w:t>教师职业道德规范的申报人，严格实行</w:t>
      </w:r>
      <w:r>
        <w:rPr>
          <w:rFonts w:ascii="Times New Roman" w:hAnsi="Times New Roman" w:eastAsia="Times New Roman"/>
          <w:spacing w:val="-9"/>
        </w:rPr>
        <w:t>“</w:t>
      </w:r>
      <w:r>
        <w:rPr/>
        <w:t>一票否决</w:t>
      </w:r>
      <w:r>
        <w:rPr>
          <w:rFonts w:ascii="Times New Roman" w:hAnsi="Times New Roman" w:eastAsia="Times New Roman"/>
          <w:spacing w:val="-4"/>
        </w:rPr>
        <w:t>”</w:t>
      </w:r>
      <w:r>
        <w:rPr/>
        <w:t>。</w:t>
      </w:r>
    </w:p>
    <w:p>
      <w:pPr>
        <w:pStyle w:val="BodyText"/>
        <w:spacing w:line="357" w:lineRule="auto"/>
        <w:ind w:left="131" w:right="178" w:firstLine="638"/>
        <w:jc w:val="both"/>
      </w:pPr>
      <w:r>
        <w:rPr/>
        <w:t>任现职以来年度考核在</w:t>
      </w:r>
      <w:r>
        <w:rPr>
          <w:rFonts w:ascii="Times New Roman" w:hAnsi="Times New Roman" w:eastAsia="Times New Roman"/>
        </w:rPr>
        <w:t>“</w:t>
      </w:r>
      <w:r>
        <w:rPr/>
        <w:t>合格</w:t>
      </w:r>
      <w:r>
        <w:rPr>
          <w:rFonts w:ascii="Times New Roman" w:hAnsi="Times New Roman" w:eastAsia="Times New Roman"/>
        </w:rPr>
        <w:t>”</w:t>
      </w:r>
      <w:r>
        <w:rPr/>
        <w:t>以上。出现下列情形之一者， 不得申报或延迟申报：</w:t>
      </w:r>
    </w:p>
    <w:p>
      <w:pPr>
        <w:pStyle w:val="BodyText"/>
        <w:spacing w:line="357" w:lineRule="auto"/>
        <w:ind w:left="131" w:right="260" w:firstLine="638"/>
        <w:jc w:val="both"/>
      </w:pPr>
      <w:r>
        <w:rPr/>
        <w:t>（一</w:t>
      </w:r>
      <w:r>
        <w:rPr>
          <w:spacing w:val="-44"/>
        </w:rPr>
        <w:t>）</w:t>
      </w:r>
      <w:r>
        <w:rPr>
          <w:spacing w:val="-4"/>
        </w:rPr>
        <w:t>受警告处分或年度考核</w:t>
      </w:r>
      <w:r>
        <w:rPr>
          <w:rFonts w:ascii="Times New Roman" w:hAnsi="Times New Roman" w:eastAsia="Times New Roman"/>
          <w:spacing w:val="-9"/>
        </w:rPr>
        <w:t>“</w:t>
      </w:r>
      <w:r>
        <w:rPr>
          <w:spacing w:val="-2"/>
        </w:rPr>
        <w:t>基本合格</w:t>
      </w:r>
      <w:r>
        <w:rPr>
          <w:rFonts w:ascii="Times New Roman" w:hAnsi="Times New Roman" w:eastAsia="Times New Roman"/>
          <w:spacing w:val="-4"/>
        </w:rPr>
        <w:t>”</w:t>
      </w:r>
      <w:r>
        <w:rPr>
          <w:spacing w:val="-10"/>
        </w:rPr>
        <w:t>或违背《新时代高</w:t>
      </w:r>
      <w:r>
        <w:rPr>
          <w:spacing w:val="-17"/>
        </w:rPr>
        <w:t>校教师职业行为十项准则》，延迟 </w:t>
      </w:r>
      <w:r>
        <w:rPr>
          <w:rFonts w:ascii="Times New Roman" w:hAnsi="Times New Roman" w:eastAsia="Times New Roman"/>
        </w:rPr>
        <w:t>1 </w:t>
      </w:r>
      <w:r>
        <w:rPr>
          <w:spacing w:val="-4"/>
        </w:rPr>
        <w:t>年以上申报。受处分期间， </w:t>
      </w:r>
      <w:r>
        <w:rPr>
          <w:spacing w:val="-2"/>
        </w:rPr>
        <w:t>不得申报。</w:t>
      </w:r>
    </w:p>
    <w:p>
      <w:pPr>
        <w:pStyle w:val="BodyText"/>
        <w:spacing w:line="357" w:lineRule="auto"/>
        <w:ind w:left="131" w:right="260" w:firstLine="638"/>
        <w:jc w:val="both"/>
      </w:pPr>
      <w:r>
        <w:rPr/>
        <w:t>（二</w:t>
      </w:r>
      <w:r>
        <w:rPr>
          <w:spacing w:val="-82"/>
        </w:rPr>
        <w:t>）</w:t>
      </w:r>
      <w:r>
        <w:rPr>
          <w:spacing w:val="-5"/>
        </w:rPr>
        <w:t>受记过以上处分或年度考核</w:t>
      </w:r>
      <w:r>
        <w:rPr>
          <w:rFonts w:ascii="Times New Roman" w:hAnsi="Times New Roman" w:eastAsia="Times New Roman"/>
          <w:spacing w:val="-9"/>
        </w:rPr>
        <w:t>“</w:t>
      </w:r>
      <w:r>
        <w:rPr/>
        <w:t>不合格</w:t>
      </w:r>
      <w:r>
        <w:rPr>
          <w:rFonts w:ascii="Times New Roman" w:hAnsi="Times New Roman" w:eastAsia="Times New Roman"/>
          <w:spacing w:val="-4"/>
        </w:rPr>
        <w:t>”</w:t>
      </w:r>
      <w:r>
        <w:rPr>
          <w:spacing w:val="-21"/>
        </w:rPr>
        <w:t>延迟 </w:t>
      </w:r>
      <w:r>
        <w:rPr>
          <w:rFonts w:ascii="Times New Roman" w:hAnsi="Times New Roman" w:eastAsia="Times New Roman"/>
        </w:rPr>
        <w:t>2 </w:t>
      </w:r>
      <w:r>
        <w:rPr>
          <w:spacing w:val="-5"/>
        </w:rPr>
        <w:t>年以上申</w:t>
      </w:r>
      <w:r>
        <w:rPr>
          <w:spacing w:val="-4"/>
        </w:rPr>
        <w:t>报。受处分期间，不得申报。</w:t>
      </w:r>
    </w:p>
    <w:p>
      <w:pPr>
        <w:pStyle w:val="BodyText"/>
        <w:spacing w:line="357" w:lineRule="auto"/>
        <w:ind w:left="131" w:right="260" w:firstLine="638"/>
        <w:jc w:val="both"/>
      </w:pPr>
      <w:r>
        <w:rPr/>
        <w:t>（三</w:t>
      </w:r>
      <w:r>
        <w:rPr>
          <w:spacing w:val="-39"/>
        </w:rPr>
        <w:t>）</w:t>
      </w:r>
      <w:r>
        <w:rPr>
          <w:spacing w:val="-11"/>
        </w:rPr>
        <w:t>有谎报学历、资历、业绩或剽窃他人成果等弄虚作假</w:t>
      </w:r>
      <w:r>
        <w:rPr>
          <w:spacing w:val="-13"/>
        </w:rPr>
        <w:t>行为的，延迟 </w:t>
      </w:r>
      <w:r>
        <w:rPr>
          <w:rFonts w:ascii="Times New Roman" w:eastAsia="Times New Roman"/>
        </w:rPr>
        <w:t>2 </w:t>
      </w:r>
      <w:r>
        <w:rPr>
          <w:spacing w:val="-10"/>
        </w:rPr>
        <w:t>年以上申报，并自次年起 </w:t>
      </w:r>
      <w:r>
        <w:rPr>
          <w:rFonts w:ascii="Times New Roman" w:eastAsia="Times New Roman"/>
        </w:rPr>
        <w:t>2 </w:t>
      </w:r>
      <w:r>
        <w:rPr>
          <w:spacing w:val="-3"/>
        </w:rPr>
        <w:t>年内不得申报。</w:t>
      </w:r>
    </w:p>
    <w:p>
      <w:pPr>
        <w:pStyle w:val="BodyText"/>
        <w:spacing w:line="407" w:lineRule="exact"/>
        <w:ind w:left="769"/>
      </w:pPr>
      <w:r>
        <w:rPr/>
        <w:t>第五条 身心健康与继续教育要求</w:t>
      </w:r>
    </w:p>
    <w:p>
      <w:pPr>
        <w:pStyle w:val="BodyText"/>
        <w:spacing w:line="357" w:lineRule="auto" w:before="190"/>
        <w:ind w:left="131" w:right="255" w:firstLine="638"/>
        <w:jc w:val="both"/>
      </w:pPr>
      <w:r>
        <w:rPr>
          <w:spacing w:val="-13"/>
        </w:rPr>
        <w:t>身心健康，能全面履行岗位职责。按照《江苏省专业技术人</w:t>
      </w:r>
      <w:r>
        <w:rPr>
          <w:spacing w:val="-15"/>
        </w:rPr>
        <w:t>员继续教育条例》的要求，结合所从事的高校教育管理工作实际</w:t>
      </w:r>
      <w:r>
        <w:rPr>
          <w:spacing w:val="-12"/>
        </w:rPr>
        <w:t>需要，参加继续教育，及时掌握新的管理方法和管理技能，不断</w:t>
      </w:r>
      <w:r>
        <w:rPr>
          <w:spacing w:val="-7"/>
        </w:rPr>
        <w:t>提高政策理论水平和综合管理能力。</w:t>
      </w:r>
    </w:p>
    <w:p>
      <w:pPr>
        <w:pStyle w:val="Heading2"/>
        <w:tabs>
          <w:tab w:pos="3649" w:val="left" w:leader="none"/>
        </w:tabs>
        <w:spacing w:before="200"/>
        <w:ind w:left="2209"/>
        <w:jc w:val="left"/>
      </w:pPr>
      <w:r>
        <w:rPr/>
        <w:t>第三章</w:t>
        <w:tab/>
        <w:t>研究实习员资格条件</w:t>
      </w:r>
    </w:p>
    <w:p>
      <w:pPr>
        <w:pStyle w:val="BodyText"/>
        <w:spacing w:before="5"/>
        <w:rPr>
          <w:sz w:val="33"/>
        </w:rPr>
      </w:pPr>
    </w:p>
    <w:p>
      <w:pPr>
        <w:pStyle w:val="BodyText"/>
        <w:ind w:left="769"/>
      </w:pPr>
      <w:r>
        <w:rPr/>
        <w:t>第六条 学历、资历要求</w:t>
      </w:r>
    </w:p>
    <w:p>
      <w:pPr>
        <w:spacing w:after="0"/>
        <w:sectPr>
          <w:pgSz w:w="11900" w:h="16840"/>
          <w:pgMar w:header="0" w:footer="1522" w:top="1600" w:bottom="1720" w:left="1400" w:right="1260"/>
        </w:sectPr>
      </w:pPr>
    </w:p>
    <w:p>
      <w:pPr>
        <w:pStyle w:val="BodyText"/>
        <w:rPr>
          <w:sz w:val="20"/>
        </w:rPr>
      </w:pPr>
    </w:p>
    <w:p>
      <w:pPr>
        <w:pStyle w:val="BodyText"/>
        <w:spacing w:before="2"/>
        <w:rPr>
          <w:sz w:val="23"/>
        </w:rPr>
      </w:pPr>
    </w:p>
    <w:p>
      <w:pPr>
        <w:pStyle w:val="BodyText"/>
        <w:spacing w:before="58"/>
        <w:ind w:left="769"/>
      </w:pPr>
      <w:r>
        <w:rPr/>
        <w:t>符合下列条件之一，可初定研究实习员职称：</w:t>
      </w:r>
    </w:p>
    <w:p>
      <w:pPr>
        <w:pStyle w:val="BodyText"/>
        <w:spacing w:line="357" w:lineRule="auto" w:before="200"/>
        <w:ind w:left="131" w:right="102" w:firstLine="638"/>
      </w:pPr>
      <w:r>
        <w:rPr/>
        <w:t>（一</w:t>
      </w:r>
      <w:r>
        <w:rPr>
          <w:spacing w:val="-140"/>
        </w:rPr>
        <w:t>）</w:t>
      </w:r>
      <w:r>
        <w:rPr>
          <w:spacing w:val="-14"/>
        </w:rPr>
        <w:t>具备硕士研究生学历或硕士学位，从事教育管理工作， </w:t>
      </w:r>
      <w:r>
        <w:rPr>
          <w:spacing w:val="-5"/>
        </w:rPr>
        <w:t>经考察合格，可初定研究实习员职称。</w:t>
      </w:r>
    </w:p>
    <w:p>
      <w:pPr>
        <w:pStyle w:val="BodyText"/>
        <w:spacing w:line="407" w:lineRule="exact"/>
        <w:ind w:left="769"/>
      </w:pPr>
      <w:r>
        <w:rPr/>
        <w:t>（二</w:t>
      </w:r>
      <w:r>
        <w:rPr>
          <w:spacing w:val="-58"/>
        </w:rPr>
        <w:t>）</w:t>
      </w:r>
      <w:r>
        <w:rPr>
          <w:spacing w:val="-9"/>
        </w:rPr>
        <w:t>具备大学本科学历或学士学位，在教育管理岗位见习</w:t>
      </w:r>
    </w:p>
    <w:p>
      <w:pPr>
        <w:pStyle w:val="BodyText"/>
        <w:spacing w:before="204"/>
        <w:ind w:left="131"/>
      </w:pPr>
      <w:r>
        <w:rPr>
          <w:rFonts w:ascii="Times New Roman" w:eastAsia="Times New Roman"/>
        </w:rPr>
        <w:t>1 </w:t>
      </w:r>
      <w:r>
        <w:rPr/>
        <w:t>年期满，经考察合格，可初定研究实习员职称。</w:t>
      </w:r>
    </w:p>
    <w:p>
      <w:pPr>
        <w:pStyle w:val="BodyText"/>
        <w:spacing w:before="200"/>
        <w:ind w:left="769"/>
      </w:pPr>
      <w:r>
        <w:rPr/>
        <w:t>第七条 专业理论知识与能力要求</w:t>
      </w:r>
    </w:p>
    <w:p>
      <w:pPr>
        <w:pStyle w:val="BodyText"/>
        <w:spacing w:line="357" w:lineRule="auto" w:before="199"/>
        <w:ind w:left="131" w:right="260" w:firstLine="638"/>
      </w:pPr>
      <w:r>
        <w:rPr/>
        <w:t>（一</w:t>
      </w:r>
      <w:r>
        <w:rPr>
          <w:spacing w:val="-58"/>
        </w:rPr>
        <w:t>）</w:t>
      </w:r>
      <w:r>
        <w:rPr>
          <w:spacing w:val="-10"/>
        </w:rPr>
        <w:t>具有基本的教育管理专业知识，了解高等教育管理工</w:t>
      </w:r>
      <w:r>
        <w:rPr>
          <w:spacing w:val="-5"/>
        </w:rPr>
        <w:t>作规律，能运用管理知识解决工作中的实际问题。</w:t>
      </w:r>
    </w:p>
    <w:p>
      <w:pPr>
        <w:pStyle w:val="BodyText"/>
        <w:spacing w:line="407" w:lineRule="exact"/>
        <w:ind w:left="769"/>
      </w:pPr>
      <w:r>
        <w:rPr/>
        <w:t>（二</w:t>
      </w:r>
      <w:r>
        <w:rPr>
          <w:spacing w:val="-140"/>
        </w:rPr>
        <w:t>）</w:t>
      </w:r>
      <w:r>
        <w:rPr>
          <w:spacing w:val="-15"/>
        </w:rPr>
        <w:t>具有初步的管理工作经验，能适应岗位管理工作需求。</w:t>
      </w:r>
    </w:p>
    <w:p>
      <w:pPr>
        <w:pStyle w:val="BodyText"/>
        <w:spacing w:before="200"/>
        <w:ind w:left="769"/>
      </w:pPr>
      <w:r>
        <w:rPr>
          <w:spacing w:val="-1"/>
        </w:rPr>
        <w:t>（</w:t>
      </w:r>
      <w:r>
        <w:rPr/>
        <w:t>三）</w:t>
      </w:r>
      <w:r>
        <w:rPr>
          <w:spacing w:val="-5"/>
        </w:rPr>
        <w:t>了解国家有关的法律、法规和政策。</w:t>
      </w:r>
    </w:p>
    <w:p>
      <w:pPr>
        <w:pStyle w:val="BodyText"/>
        <w:spacing w:before="2"/>
        <w:rPr>
          <w:sz w:val="31"/>
        </w:rPr>
      </w:pPr>
    </w:p>
    <w:p>
      <w:pPr>
        <w:pStyle w:val="Heading2"/>
        <w:tabs>
          <w:tab w:pos="1439" w:val="left" w:leader="none"/>
        </w:tabs>
        <w:ind w:right="139"/>
      </w:pPr>
      <w:r>
        <w:rPr/>
        <w:t>第四章</w:t>
        <w:tab/>
      </w:r>
      <w:r>
        <w:rPr>
          <w:w w:val="95"/>
        </w:rPr>
        <w:t>助理研究员资格条件</w:t>
      </w:r>
    </w:p>
    <w:p>
      <w:pPr>
        <w:pStyle w:val="BodyText"/>
        <w:spacing w:before="6"/>
        <w:rPr>
          <w:sz w:val="33"/>
        </w:rPr>
      </w:pPr>
    </w:p>
    <w:p>
      <w:pPr>
        <w:pStyle w:val="BodyText"/>
        <w:ind w:left="769"/>
      </w:pPr>
      <w:r>
        <w:rPr/>
        <w:t>第八条 学历、资历要求</w:t>
      </w:r>
    </w:p>
    <w:p>
      <w:pPr>
        <w:pStyle w:val="BodyText"/>
        <w:spacing w:before="199"/>
        <w:ind w:left="769"/>
      </w:pPr>
      <w:r>
        <w:rPr/>
        <w:t>符合下列条件之一，可初定或申报助理研究员职称：</w:t>
      </w:r>
    </w:p>
    <w:p>
      <w:pPr>
        <w:pStyle w:val="BodyText"/>
        <w:spacing w:line="357" w:lineRule="auto" w:before="200"/>
        <w:ind w:left="131" w:right="102" w:firstLine="638"/>
      </w:pPr>
      <w:r>
        <w:rPr/>
        <w:t>（一</w:t>
      </w:r>
      <w:r>
        <w:rPr>
          <w:spacing w:val="-96"/>
        </w:rPr>
        <w:t>）</w:t>
      </w:r>
      <w:r>
        <w:rPr>
          <w:spacing w:val="-16"/>
        </w:rPr>
        <w:t>具备博士学位，从事教育管理岗位工作，经考察合格， </w:t>
      </w:r>
      <w:r>
        <w:rPr>
          <w:spacing w:val="-4"/>
        </w:rPr>
        <w:t>可初定助理研究员职称。</w:t>
      </w:r>
    </w:p>
    <w:p>
      <w:pPr>
        <w:pStyle w:val="BodyText"/>
        <w:spacing w:line="360" w:lineRule="auto"/>
        <w:ind w:left="131" w:right="260" w:firstLine="638"/>
      </w:pPr>
      <w:r>
        <w:rPr/>
        <w:t>（二</w:t>
      </w:r>
      <w:r>
        <w:rPr>
          <w:spacing w:val="-58"/>
        </w:rPr>
        <w:t>）</w:t>
      </w:r>
      <w:r>
        <w:rPr>
          <w:spacing w:val="-10"/>
        </w:rPr>
        <w:t>具备硕士研究生学历或硕士学位，并取得研究实习员</w:t>
      </w:r>
      <w:r>
        <w:rPr>
          <w:spacing w:val="-20"/>
        </w:rPr>
        <w:t>资格满 </w:t>
      </w:r>
      <w:r>
        <w:rPr>
          <w:rFonts w:ascii="Times New Roman" w:eastAsia="Times New Roman"/>
        </w:rPr>
        <w:t>2 </w:t>
      </w:r>
      <w:r>
        <w:rPr>
          <w:spacing w:val="-5"/>
        </w:rPr>
        <w:t>年，可申报评审助理研究员职称。</w:t>
      </w:r>
    </w:p>
    <w:p>
      <w:pPr>
        <w:pStyle w:val="BodyText"/>
        <w:spacing w:line="357" w:lineRule="auto"/>
        <w:ind w:left="131" w:right="260" w:firstLine="638"/>
      </w:pPr>
      <w:r>
        <w:rPr/>
        <w:t>（三</w:t>
      </w:r>
      <w:r>
        <w:rPr>
          <w:spacing w:val="-58"/>
        </w:rPr>
        <w:t>）</w:t>
      </w:r>
      <w:r>
        <w:rPr>
          <w:spacing w:val="-10"/>
        </w:rPr>
        <w:t>具备大学本科学历或学士学位，并取得研究实习员资</w:t>
      </w:r>
      <w:r>
        <w:rPr>
          <w:spacing w:val="-27"/>
        </w:rPr>
        <w:t>格满 </w:t>
      </w:r>
      <w:r>
        <w:rPr>
          <w:rFonts w:ascii="Times New Roman" w:eastAsia="Times New Roman"/>
        </w:rPr>
        <w:t>4 </w:t>
      </w:r>
      <w:r>
        <w:rPr>
          <w:spacing w:val="-5"/>
        </w:rPr>
        <w:t>年，可申报评审助理研究员职称。</w:t>
      </w:r>
    </w:p>
    <w:p>
      <w:pPr>
        <w:pStyle w:val="BodyText"/>
        <w:spacing w:line="407" w:lineRule="exact"/>
        <w:ind w:left="769"/>
      </w:pPr>
      <w:r>
        <w:rPr/>
        <w:t>第九条 专业理论知识与能力要求</w:t>
      </w:r>
    </w:p>
    <w:p>
      <w:pPr>
        <w:spacing w:after="0" w:line="407" w:lineRule="exact"/>
        <w:sectPr>
          <w:pgSz w:w="11900" w:h="16840"/>
          <w:pgMar w:header="0" w:footer="1522" w:top="1600" w:bottom="1720" w:left="1400" w:right="1260"/>
        </w:sectPr>
      </w:pPr>
    </w:p>
    <w:p>
      <w:pPr>
        <w:pStyle w:val="BodyText"/>
        <w:rPr>
          <w:sz w:val="20"/>
        </w:rPr>
      </w:pPr>
    </w:p>
    <w:p>
      <w:pPr>
        <w:pStyle w:val="BodyText"/>
        <w:spacing w:before="2"/>
        <w:rPr>
          <w:sz w:val="23"/>
        </w:rPr>
      </w:pPr>
    </w:p>
    <w:p>
      <w:pPr>
        <w:pStyle w:val="BodyText"/>
        <w:spacing w:line="357" w:lineRule="auto" w:before="58"/>
        <w:ind w:left="131" w:right="260" w:firstLine="638"/>
      </w:pPr>
      <w:r>
        <w:rPr/>
        <w:t>（一</w:t>
      </w:r>
      <w:r>
        <w:rPr>
          <w:spacing w:val="-58"/>
        </w:rPr>
        <w:t>）</w:t>
      </w:r>
      <w:r>
        <w:rPr>
          <w:spacing w:val="-11"/>
        </w:rPr>
        <w:t>具有一定教育管理专业知识，了解高等教育管理工作</w:t>
      </w:r>
      <w:r>
        <w:rPr>
          <w:spacing w:val="-5"/>
        </w:rPr>
        <w:t>规律，能运用专业知识分析和解决管理工作中的问题。</w:t>
      </w:r>
    </w:p>
    <w:p>
      <w:pPr>
        <w:pStyle w:val="BodyText"/>
        <w:spacing w:line="407" w:lineRule="exact"/>
        <w:ind w:left="769"/>
      </w:pPr>
      <w:r>
        <w:rPr/>
        <w:t>（二）具有一定管理工作经验，能胜任本岗位管理工作。</w:t>
      </w:r>
    </w:p>
    <w:p>
      <w:pPr>
        <w:pStyle w:val="BodyText"/>
        <w:spacing w:line="360" w:lineRule="auto" w:before="200"/>
        <w:ind w:left="131" w:right="265" w:firstLine="638"/>
      </w:pPr>
      <w:r>
        <w:rPr/>
        <w:t>第十条 业绩要求（具备博士学位初定助理研究员职称，该条可不作要求）</w:t>
      </w:r>
    </w:p>
    <w:p>
      <w:pPr>
        <w:pStyle w:val="BodyText"/>
        <w:spacing w:line="357" w:lineRule="auto"/>
        <w:ind w:left="131" w:right="260" w:firstLine="638"/>
      </w:pPr>
      <w:r>
        <w:rPr/>
        <w:t>（一</w:t>
      </w:r>
      <w:r>
        <w:rPr>
          <w:spacing w:val="-39"/>
        </w:rPr>
        <w:t>）</w:t>
      </w:r>
      <w:r>
        <w:rPr>
          <w:spacing w:val="-11"/>
        </w:rPr>
        <w:t>能独立完成本岗位工作，认真履行岗位职责，学校民</w:t>
      </w:r>
      <w:r>
        <w:rPr>
          <w:spacing w:val="-13"/>
        </w:rPr>
        <w:t>主测评优良率在 </w:t>
      </w:r>
      <w:r>
        <w:rPr>
          <w:rFonts w:ascii="Times New Roman" w:eastAsia="Times New Roman"/>
          <w:spacing w:val="-4"/>
        </w:rPr>
        <w:t>70%</w:t>
      </w:r>
      <w:r>
        <w:rPr/>
        <w:t>以上。</w:t>
      </w:r>
    </w:p>
    <w:p>
      <w:pPr>
        <w:pStyle w:val="BodyText"/>
        <w:spacing w:line="357" w:lineRule="auto"/>
        <w:ind w:left="131" w:right="260" w:firstLine="638"/>
      </w:pPr>
      <w:r>
        <w:rPr/>
        <w:t>（二</w:t>
      </w:r>
      <w:r>
        <w:rPr>
          <w:spacing w:val="-39"/>
        </w:rPr>
        <w:t>）</w:t>
      </w:r>
      <w:r>
        <w:rPr>
          <w:spacing w:val="-11"/>
        </w:rPr>
        <w:t>作为核心成员，主要参与起草过有关管理文件、调研</w:t>
      </w:r>
      <w:r>
        <w:rPr/>
        <w:t>报告等。</w:t>
      </w:r>
    </w:p>
    <w:p>
      <w:pPr>
        <w:pStyle w:val="BodyText"/>
        <w:spacing w:line="357" w:lineRule="auto"/>
        <w:ind w:left="131" w:right="68" w:firstLine="638"/>
      </w:pPr>
      <w:r>
        <w:rPr/>
        <w:t>同时，须独立或第一作者在省级以上刊物（增刊、特刊以及论文集除外）发表对本职工作有指导作用的研究论文 </w:t>
      </w:r>
      <w:r>
        <w:rPr>
          <w:rFonts w:ascii="Times New Roman" w:eastAsia="Times New Roman"/>
        </w:rPr>
        <w:t>1 </w:t>
      </w:r>
      <w:r>
        <w:rPr/>
        <w:t>篇以上。</w:t>
      </w:r>
    </w:p>
    <w:p>
      <w:pPr>
        <w:pStyle w:val="Heading2"/>
        <w:tabs>
          <w:tab w:pos="3827" w:val="left" w:leader="none"/>
        </w:tabs>
        <w:spacing w:before="186"/>
        <w:ind w:left="2387"/>
        <w:jc w:val="left"/>
      </w:pPr>
      <w:r>
        <w:rPr/>
        <w:t>第五章</w:t>
        <w:tab/>
        <w:t>副研究员资格条件</w:t>
      </w:r>
    </w:p>
    <w:p>
      <w:pPr>
        <w:pStyle w:val="BodyText"/>
        <w:spacing w:before="5"/>
        <w:rPr>
          <w:sz w:val="33"/>
        </w:rPr>
      </w:pPr>
    </w:p>
    <w:p>
      <w:pPr>
        <w:pStyle w:val="BodyText"/>
        <w:ind w:left="769"/>
      </w:pPr>
      <w:r>
        <w:rPr/>
        <w:t>第十一条 学历、资历要求</w:t>
      </w:r>
    </w:p>
    <w:p>
      <w:pPr>
        <w:pStyle w:val="BodyText"/>
        <w:spacing w:before="200"/>
        <w:ind w:left="769"/>
      </w:pPr>
      <w:r>
        <w:rPr/>
        <w:t>（一）具备博士学位，取得助理研究员资格满 </w:t>
      </w:r>
      <w:r>
        <w:rPr>
          <w:rFonts w:ascii="Times New Roman" w:eastAsia="Times New Roman"/>
        </w:rPr>
        <w:t>2 </w:t>
      </w:r>
      <w:r>
        <w:rPr/>
        <w:t>年。</w:t>
      </w:r>
    </w:p>
    <w:p>
      <w:pPr>
        <w:pStyle w:val="BodyText"/>
        <w:spacing w:line="357" w:lineRule="auto" w:before="199"/>
        <w:ind w:left="131" w:right="260" w:firstLine="638"/>
      </w:pPr>
      <w:r>
        <w:rPr/>
        <w:t>（二</w:t>
      </w:r>
      <w:r>
        <w:rPr>
          <w:spacing w:val="-58"/>
        </w:rPr>
        <w:t>）</w:t>
      </w:r>
      <w:r>
        <w:rPr>
          <w:spacing w:val="-10"/>
        </w:rPr>
        <w:t>具备大学本科及以上学历或学士及以上学位，取得助</w:t>
      </w:r>
      <w:r>
        <w:rPr>
          <w:spacing w:val="-13"/>
        </w:rPr>
        <w:t>理研究员资格满 </w:t>
      </w:r>
      <w:r>
        <w:rPr>
          <w:rFonts w:ascii="Times New Roman" w:eastAsia="Times New Roman"/>
        </w:rPr>
        <w:t>5 </w:t>
      </w:r>
      <w:r>
        <w:rPr/>
        <w:t>年。</w:t>
      </w:r>
    </w:p>
    <w:p>
      <w:pPr>
        <w:pStyle w:val="BodyText"/>
        <w:spacing w:line="357" w:lineRule="auto" w:before="3"/>
        <w:ind w:left="131" w:right="260" w:firstLine="638"/>
      </w:pPr>
      <w:r>
        <w:rPr/>
        <w:t>（三</w:t>
      </w:r>
      <w:r>
        <w:rPr>
          <w:spacing w:val="-39"/>
        </w:rPr>
        <w:t>）</w:t>
      </w:r>
      <w:r>
        <w:rPr>
          <w:spacing w:val="-12"/>
        </w:rPr>
        <w:t>不具备规定学历，具备大学专科学历，从事教育管理</w:t>
      </w:r>
      <w:r>
        <w:rPr>
          <w:spacing w:val="-20"/>
        </w:rPr>
        <w:t>工作 </w:t>
      </w:r>
      <w:r>
        <w:rPr>
          <w:rFonts w:ascii="Times New Roman" w:eastAsia="Times New Roman"/>
        </w:rPr>
        <w:t>20</w:t>
      </w:r>
      <w:r>
        <w:rPr>
          <w:rFonts w:ascii="Times New Roman" w:eastAsia="Times New Roman"/>
          <w:spacing w:val="17"/>
        </w:rPr>
        <w:t> </w:t>
      </w:r>
      <w:r>
        <w:rPr>
          <w:spacing w:val="-9"/>
        </w:rPr>
        <w:t>年以上，取得助理研究员资格满 </w:t>
      </w:r>
      <w:r>
        <w:rPr>
          <w:rFonts w:ascii="Times New Roman" w:eastAsia="Times New Roman"/>
        </w:rPr>
        <w:t>6</w:t>
      </w:r>
      <w:r>
        <w:rPr>
          <w:rFonts w:ascii="Times New Roman" w:eastAsia="Times New Roman"/>
          <w:spacing w:val="17"/>
        </w:rPr>
        <w:t> </w:t>
      </w:r>
      <w:r>
        <w:rPr>
          <w:spacing w:val="-4"/>
        </w:rPr>
        <w:t>年，业绩显著，任现</w:t>
      </w:r>
    </w:p>
    <w:p>
      <w:pPr>
        <w:pStyle w:val="BodyText"/>
        <w:spacing w:line="407" w:lineRule="exact"/>
        <w:ind w:left="131"/>
      </w:pPr>
      <w:r>
        <w:rPr>
          <w:spacing w:val="-9"/>
        </w:rPr>
        <w:t>职以来年度考核至少有 </w:t>
      </w:r>
      <w:r>
        <w:rPr>
          <w:rFonts w:ascii="Times New Roman" w:hAnsi="Times New Roman" w:eastAsia="Times New Roman"/>
        </w:rPr>
        <w:t>2</w:t>
      </w:r>
      <w:r>
        <w:rPr>
          <w:rFonts w:ascii="Times New Roman" w:hAnsi="Times New Roman" w:eastAsia="Times New Roman"/>
          <w:spacing w:val="19"/>
        </w:rPr>
        <w:t> </w:t>
      </w:r>
      <w:r>
        <w:rPr/>
        <w:t>次为</w:t>
      </w:r>
      <w:r>
        <w:rPr>
          <w:rFonts w:ascii="Times New Roman" w:hAnsi="Times New Roman" w:eastAsia="Times New Roman"/>
          <w:spacing w:val="-9"/>
        </w:rPr>
        <w:t>“</w:t>
      </w:r>
      <w:r>
        <w:rPr/>
        <w:t>优秀</w:t>
      </w:r>
      <w:r>
        <w:rPr>
          <w:rFonts w:ascii="Times New Roman" w:hAnsi="Times New Roman" w:eastAsia="Times New Roman"/>
          <w:spacing w:val="-4"/>
        </w:rPr>
        <w:t>”</w:t>
      </w:r>
      <w:r>
        <w:rPr>
          <w:spacing w:val="-10"/>
        </w:rPr>
        <w:t>。并须具备下列条件中的第</w:t>
      </w:r>
    </w:p>
    <w:p>
      <w:pPr>
        <w:pStyle w:val="BodyText"/>
        <w:spacing w:before="199"/>
        <w:ind w:left="131"/>
      </w:pPr>
      <w:r>
        <w:rPr>
          <w:rFonts w:ascii="Times New Roman" w:eastAsia="Times New Roman"/>
        </w:rPr>
        <w:t>1 </w:t>
      </w:r>
      <w:r>
        <w:rPr/>
        <w:t>条和第 </w:t>
      </w:r>
      <w:r>
        <w:rPr>
          <w:rFonts w:ascii="Times New Roman" w:eastAsia="Times New Roman"/>
        </w:rPr>
        <w:t>2</w:t>
      </w:r>
      <w:r>
        <w:rPr/>
        <w:t>、</w:t>
      </w:r>
      <w:r>
        <w:rPr>
          <w:rFonts w:ascii="Times New Roman" w:eastAsia="Times New Roman"/>
        </w:rPr>
        <w:t>3</w:t>
      </w:r>
      <w:r>
        <w:rPr/>
        <w:t>、</w:t>
      </w:r>
      <w:r>
        <w:rPr>
          <w:rFonts w:ascii="Times New Roman" w:eastAsia="Times New Roman"/>
        </w:rPr>
        <w:t>4 </w:t>
      </w:r>
      <w:r>
        <w:rPr/>
        <w:t>条中的 </w:t>
      </w:r>
      <w:r>
        <w:rPr>
          <w:rFonts w:ascii="Times New Roman" w:eastAsia="Times New Roman"/>
        </w:rPr>
        <w:t>1 </w:t>
      </w:r>
      <w:r>
        <w:rPr/>
        <w:t>条：</w:t>
      </w:r>
    </w:p>
    <w:p>
      <w:pPr>
        <w:spacing w:after="0"/>
        <w:sectPr>
          <w:pgSz w:w="11900" w:h="16840"/>
          <w:pgMar w:header="0" w:footer="1522" w:top="1600" w:bottom="1720" w:left="1400" w:right="1260"/>
        </w:sectPr>
      </w:pPr>
    </w:p>
    <w:p>
      <w:pPr>
        <w:pStyle w:val="BodyText"/>
        <w:rPr>
          <w:sz w:val="20"/>
        </w:rPr>
      </w:pPr>
    </w:p>
    <w:p>
      <w:pPr>
        <w:pStyle w:val="BodyText"/>
        <w:spacing w:before="6"/>
        <w:rPr>
          <w:sz w:val="22"/>
        </w:rPr>
      </w:pPr>
    </w:p>
    <w:p>
      <w:pPr>
        <w:pStyle w:val="ListParagraph"/>
        <w:numPr>
          <w:ilvl w:val="0"/>
          <w:numId w:val="1"/>
        </w:numPr>
        <w:tabs>
          <w:tab w:pos="1173" w:val="left" w:leader="none"/>
        </w:tabs>
        <w:spacing w:line="357" w:lineRule="auto" w:before="67" w:after="0"/>
        <w:ind w:left="131" w:right="260" w:firstLine="638"/>
        <w:jc w:val="both"/>
        <w:rPr>
          <w:sz w:val="32"/>
        </w:rPr>
      </w:pPr>
      <w:r>
        <w:rPr>
          <w:sz w:val="32"/>
        </w:rPr>
        <w:t>在教育和管理类期刊发表对工作有指导作用的高水平论</w:t>
      </w:r>
      <w:r>
        <w:rPr>
          <w:spacing w:val="-35"/>
          <w:sz w:val="32"/>
        </w:rPr>
        <w:t>文 </w:t>
      </w:r>
      <w:r>
        <w:rPr>
          <w:rFonts w:ascii="Times New Roman" w:eastAsia="Times New Roman"/>
          <w:sz w:val="32"/>
        </w:rPr>
        <w:t>3</w:t>
      </w:r>
      <w:r>
        <w:rPr>
          <w:rFonts w:ascii="Times New Roman" w:eastAsia="Times New Roman"/>
          <w:spacing w:val="9"/>
          <w:sz w:val="32"/>
        </w:rPr>
        <w:t> </w:t>
      </w:r>
      <w:r>
        <w:rPr>
          <w:spacing w:val="-12"/>
          <w:sz w:val="32"/>
        </w:rPr>
        <w:t>篇以上，或撰写正式出版的教育管理方面的专著 </w:t>
      </w:r>
      <w:r>
        <w:rPr>
          <w:rFonts w:ascii="Times New Roman" w:eastAsia="Times New Roman"/>
          <w:sz w:val="32"/>
        </w:rPr>
        <w:t>8</w:t>
      </w:r>
      <w:r>
        <w:rPr>
          <w:rFonts w:ascii="Times New Roman" w:eastAsia="Times New Roman"/>
          <w:spacing w:val="9"/>
          <w:sz w:val="32"/>
        </w:rPr>
        <w:t> </w:t>
      </w:r>
      <w:r>
        <w:rPr>
          <w:spacing w:val="-18"/>
          <w:sz w:val="32"/>
        </w:rPr>
        <w:t>万字，可</w:t>
      </w:r>
      <w:r>
        <w:rPr>
          <w:spacing w:val="-19"/>
          <w:sz w:val="32"/>
        </w:rPr>
        <w:t>替代高水平论文 </w:t>
      </w:r>
      <w:r>
        <w:rPr>
          <w:rFonts w:ascii="Times New Roman" w:eastAsia="Times New Roman"/>
          <w:sz w:val="32"/>
        </w:rPr>
        <w:t>1 </w:t>
      </w:r>
      <w:r>
        <w:rPr>
          <w:spacing w:val="-12"/>
          <w:sz w:val="32"/>
        </w:rPr>
        <w:t>篇，替代数量不超过 </w:t>
      </w:r>
      <w:r>
        <w:rPr>
          <w:rFonts w:ascii="Times New Roman" w:eastAsia="Times New Roman"/>
          <w:sz w:val="32"/>
        </w:rPr>
        <w:t>2 </w:t>
      </w:r>
      <w:r>
        <w:rPr>
          <w:spacing w:val="-3"/>
          <w:sz w:val="32"/>
        </w:rPr>
        <w:t>篇。</w:t>
      </w:r>
    </w:p>
    <w:p>
      <w:pPr>
        <w:pStyle w:val="ListParagraph"/>
        <w:numPr>
          <w:ilvl w:val="0"/>
          <w:numId w:val="1"/>
        </w:numPr>
        <w:tabs>
          <w:tab w:pos="1173" w:val="left" w:leader="none"/>
        </w:tabs>
        <w:spacing w:line="357" w:lineRule="auto" w:before="0" w:after="0"/>
        <w:ind w:left="131" w:right="255" w:firstLine="638"/>
        <w:jc w:val="both"/>
        <w:rPr>
          <w:sz w:val="32"/>
        </w:rPr>
      </w:pPr>
      <w:r>
        <w:rPr>
          <w:sz w:val="32"/>
        </w:rPr>
        <w:t>承担并完成省级以上教育等主管部门的研究课题或工作</w:t>
      </w:r>
      <w:r>
        <w:rPr>
          <w:w w:val="100"/>
          <w:sz w:val="32"/>
        </w:rPr>
        <w:t>课题，本人为主要承担者或组织实施者（排名前</w:t>
      </w:r>
      <w:r>
        <w:rPr>
          <w:spacing w:val="3"/>
          <w:sz w:val="32"/>
        </w:rPr>
        <w:t> </w:t>
      </w:r>
      <w:r>
        <w:rPr>
          <w:rFonts w:ascii="Times New Roman" w:eastAsia="Times New Roman"/>
          <w:spacing w:val="-3"/>
          <w:w w:val="100"/>
          <w:sz w:val="32"/>
        </w:rPr>
        <w:t>3</w:t>
      </w:r>
      <w:r>
        <w:rPr>
          <w:spacing w:val="-159"/>
          <w:w w:val="100"/>
          <w:sz w:val="32"/>
        </w:rPr>
        <w:t>）</w:t>
      </w:r>
      <w:r>
        <w:rPr>
          <w:spacing w:val="-1"/>
          <w:w w:val="100"/>
          <w:sz w:val="32"/>
        </w:rPr>
        <w:t>；或主持并</w:t>
      </w:r>
      <w:r>
        <w:rPr>
          <w:spacing w:val="-10"/>
          <w:sz w:val="32"/>
        </w:rPr>
        <w:t>完成市级以上教育等主管部门的研究课题或工作课题。研究成果</w:t>
      </w:r>
      <w:r>
        <w:rPr>
          <w:spacing w:val="-14"/>
          <w:sz w:val="32"/>
        </w:rPr>
        <w:t>有较大的改革创新力度，对高等学校教育管理工作有重要的指导</w:t>
      </w:r>
      <w:r>
        <w:rPr>
          <w:sz w:val="32"/>
        </w:rPr>
        <w:t>作用。</w:t>
      </w:r>
    </w:p>
    <w:p>
      <w:pPr>
        <w:pStyle w:val="ListParagraph"/>
        <w:numPr>
          <w:ilvl w:val="0"/>
          <w:numId w:val="1"/>
        </w:numPr>
        <w:tabs>
          <w:tab w:pos="1173" w:val="left" w:leader="none"/>
        </w:tabs>
        <w:spacing w:line="408" w:lineRule="exact" w:before="0" w:after="0"/>
        <w:ind w:left="1172" w:right="0" w:hanging="403"/>
        <w:jc w:val="left"/>
        <w:rPr>
          <w:sz w:val="32"/>
        </w:rPr>
      </w:pPr>
      <w:r>
        <w:rPr>
          <w:spacing w:val="3"/>
          <w:sz w:val="32"/>
        </w:rPr>
        <w:t>获得教育管理方面市</w:t>
      </w:r>
      <w:r>
        <w:rPr>
          <w:sz w:val="32"/>
        </w:rPr>
        <w:t>（</w:t>
      </w:r>
      <w:r>
        <w:rPr>
          <w:spacing w:val="4"/>
          <w:sz w:val="32"/>
        </w:rPr>
        <w:t>厅）</w:t>
      </w:r>
      <w:r>
        <w:rPr>
          <w:sz w:val="32"/>
        </w:rPr>
        <w:t>级科研成果二等奖以上奖励</w:t>
      </w:r>
    </w:p>
    <w:p>
      <w:pPr>
        <w:pStyle w:val="BodyText"/>
        <w:spacing w:before="195"/>
        <w:ind w:left="131"/>
      </w:pPr>
      <w:r>
        <w:rPr>
          <w:spacing w:val="-44"/>
          <w:w w:val="100"/>
        </w:rPr>
        <w:t>１项</w:t>
      </w:r>
      <w:r>
        <w:rPr>
          <w:spacing w:val="-5"/>
          <w:w w:val="100"/>
        </w:rPr>
        <w:t>（</w:t>
      </w:r>
      <w:r>
        <w:rPr>
          <w:spacing w:val="-2"/>
          <w:w w:val="100"/>
        </w:rPr>
        <w:t>排名前</w:t>
      </w:r>
      <w:r>
        <w:rPr>
          <w:spacing w:val="-79"/>
        </w:rPr>
        <w:t> </w:t>
      </w:r>
      <w:r>
        <w:rPr>
          <w:rFonts w:ascii="Times New Roman" w:eastAsia="Times New Roman"/>
          <w:spacing w:val="-3"/>
          <w:w w:val="100"/>
        </w:rPr>
        <w:t>3</w:t>
      </w:r>
      <w:r>
        <w:rPr>
          <w:spacing w:val="-159"/>
          <w:w w:val="100"/>
        </w:rPr>
        <w:t>）</w:t>
      </w:r>
      <w:r>
        <w:rPr>
          <w:spacing w:val="-38"/>
          <w:w w:val="100"/>
        </w:rPr>
        <w:t>，或获得省</w:t>
      </w:r>
      <w:r>
        <w:rPr>
          <w:spacing w:val="-5"/>
          <w:w w:val="100"/>
        </w:rPr>
        <w:t>（</w:t>
      </w:r>
      <w:r>
        <w:rPr>
          <w:w w:val="100"/>
        </w:rPr>
        <w:t>部</w:t>
      </w:r>
      <w:r>
        <w:rPr>
          <w:spacing w:val="-87"/>
          <w:w w:val="100"/>
        </w:rPr>
        <w:t>）</w:t>
      </w:r>
      <w:r>
        <w:rPr>
          <w:spacing w:val="-15"/>
          <w:w w:val="100"/>
        </w:rPr>
        <w:t>级科研成果奖１项</w:t>
      </w:r>
      <w:r>
        <w:rPr>
          <w:w w:val="100"/>
        </w:rPr>
        <w:t>（</w:t>
      </w:r>
      <w:r>
        <w:rPr>
          <w:spacing w:val="-2"/>
          <w:w w:val="100"/>
        </w:rPr>
        <w:t>排名前</w:t>
      </w:r>
      <w:r>
        <w:rPr>
          <w:spacing w:val="-79"/>
        </w:rPr>
        <w:t> </w:t>
      </w:r>
      <w:r>
        <w:rPr>
          <w:rFonts w:ascii="Times New Roman" w:eastAsia="Times New Roman"/>
          <w:spacing w:val="-8"/>
          <w:w w:val="100"/>
        </w:rPr>
        <w:t>3</w:t>
      </w:r>
      <w:r>
        <w:rPr>
          <w:spacing w:val="-164"/>
          <w:w w:val="100"/>
        </w:rPr>
        <w:t>）</w:t>
      </w:r>
      <w:r>
        <w:rPr>
          <w:w w:val="100"/>
        </w:rPr>
        <w:t>。</w:t>
      </w:r>
    </w:p>
    <w:p>
      <w:pPr>
        <w:pStyle w:val="ListParagraph"/>
        <w:numPr>
          <w:ilvl w:val="0"/>
          <w:numId w:val="1"/>
        </w:numPr>
        <w:tabs>
          <w:tab w:pos="1168" w:val="left" w:leader="none"/>
        </w:tabs>
        <w:spacing w:line="240" w:lineRule="auto" w:before="200" w:after="0"/>
        <w:ind w:left="1168" w:right="0" w:hanging="399"/>
        <w:jc w:val="left"/>
        <w:rPr>
          <w:sz w:val="32"/>
        </w:rPr>
      </w:pPr>
      <w:r>
        <w:rPr>
          <w:spacing w:val="-3"/>
          <w:sz w:val="32"/>
        </w:rPr>
        <w:t>获得省级以上综合性表彰。</w:t>
      </w:r>
    </w:p>
    <w:p>
      <w:pPr>
        <w:pStyle w:val="BodyText"/>
        <w:spacing w:before="200"/>
        <w:ind w:left="769"/>
      </w:pPr>
      <w:r>
        <w:rPr/>
        <w:t>第十二条 专业理论知识与能力要求</w:t>
      </w:r>
    </w:p>
    <w:p>
      <w:pPr>
        <w:pStyle w:val="BodyText"/>
        <w:spacing w:line="357" w:lineRule="auto" w:before="199"/>
        <w:ind w:left="131" w:right="145" w:firstLine="638"/>
        <w:jc w:val="both"/>
      </w:pPr>
      <w:r>
        <w:rPr/>
        <w:t>（一</w:t>
      </w:r>
      <w:r>
        <w:rPr>
          <w:spacing w:val="-58"/>
        </w:rPr>
        <w:t>）</w:t>
      </w:r>
      <w:r>
        <w:rPr>
          <w:spacing w:val="-9"/>
        </w:rPr>
        <w:t>具有宽厚的教育管理专业知识和较高的政策水平，了</w:t>
      </w:r>
      <w:r>
        <w:rPr>
          <w:spacing w:val="-12"/>
        </w:rPr>
        <w:t>解国内外高等教育管理研究现状和发展趋势，掌握高等教育管理</w:t>
      </w:r>
      <w:r>
        <w:rPr>
          <w:spacing w:val="-8"/>
        </w:rPr>
        <w:t>工作规律，能熟练运用专业知识分析和解决管理工作中的问题。</w:t>
      </w:r>
    </w:p>
    <w:p>
      <w:pPr>
        <w:pStyle w:val="BodyText"/>
        <w:spacing w:line="357" w:lineRule="auto"/>
        <w:ind w:left="131" w:right="260" w:firstLine="638"/>
        <w:jc w:val="both"/>
      </w:pPr>
      <w:r>
        <w:rPr/>
        <w:t>（二</w:t>
      </w:r>
      <w:r>
        <w:rPr>
          <w:spacing w:val="-58"/>
        </w:rPr>
        <w:t>）</w:t>
      </w:r>
      <w:r>
        <w:rPr>
          <w:spacing w:val="-11"/>
        </w:rPr>
        <w:t>具有较强的组织协调能力、综合管理能力和较丰富的管理工作经验，能根据学校的总体规划，提出新的工作思路、工</w:t>
      </w:r>
      <w:r>
        <w:rPr>
          <w:spacing w:val="-7"/>
        </w:rPr>
        <w:t>作方法，并在实际应用中取得明显成效。</w:t>
      </w:r>
    </w:p>
    <w:p>
      <w:pPr>
        <w:pStyle w:val="BodyText"/>
        <w:ind w:left="769"/>
      </w:pPr>
      <w:r>
        <w:rPr/>
        <w:t>第十三条 工作业绩要求</w:t>
      </w:r>
    </w:p>
    <w:p>
      <w:pPr>
        <w:pStyle w:val="BodyText"/>
        <w:spacing w:before="197"/>
        <w:ind w:left="769"/>
      </w:pPr>
      <w:r>
        <w:rPr/>
        <w:t>取得助理研究员资格以来，须具备下列条件：</w:t>
      </w:r>
    </w:p>
    <w:p>
      <w:pPr>
        <w:pStyle w:val="BodyText"/>
        <w:spacing w:before="199"/>
        <w:ind w:left="769"/>
      </w:pPr>
      <w:r>
        <w:rPr/>
        <w:t>（一）较好地完成各项工作任务，工作成效显著，学校民主</w:t>
      </w:r>
    </w:p>
    <w:p>
      <w:pPr>
        <w:spacing w:after="0"/>
        <w:sectPr>
          <w:pgSz w:w="11900" w:h="16840"/>
          <w:pgMar w:header="0" w:footer="1522" w:top="1600" w:bottom="1720" w:left="1400" w:right="1260"/>
        </w:sectPr>
      </w:pPr>
    </w:p>
    <w:p>
      <w:pPr>
        <w:pStyle w:val="BodyText"/>
        <w:rPr>
          <w:sz w:val="20"/>
        </w:rPr>
      </w:pPr>
    </w:p>
    <w:p>
      <w:pPr>
        <w:pStyle w:val="BodyText"/>
        <w:spacing w:before="6"/>
        <w:rPr>
          <w:sz w:val="22"/>
        </w:rPr>
      </w:pPr>
    </w:p>
    <w:p>
      <w:pPr>
        <w:pStyle w:val="BodyText"/>
        <w:spacing w:before="67"/>
        <w:ind w:left="131"/>
      </w:pPr>
      <w:r>
        <w:rPr/>
        <w:t>测评优良率在 </w:t>
      </w:r>
      <w:r>
        <w:rPr>
          <w:rFonts w:ascii="Times New Roman" w:eastAsia="Times New Roman"/>
        </w:rPr>
        <w:t>70%</w:t>
      </w:r>
      <w:r>
        <w:rPr/>
        <w:t>以上。</w:t>
      </w:r>
    </w:p>
    <w:p>
      <w:pPr>
        <w:pStyle w:val="BodyText"/>
        <w:spacing w:line="357" w:lineRule="auto" w:before="199"/>
        <w:ind w:left="131" w:right="260" w:firstLine="638"/>
      </w:pPr>
      <w:r>
        <w:rPr/>
        <w:t>（二</w:t>
      </w:r>
      <w:r>
        <w:rPr>
          <w:spacing w:val="-58"/>
        </w:rPr>
        <w:t>）</w:t>
      </w:r>
      <w:r>
        <w:rPr>
          <w:spacing w:val="-10"/>
        </w:rPr>
        <w:t>独立起草过高水平的管理文件、改革方案或撰写调研</w:t>
      </w:r>
      <w:r>
        <w:rPr>
          <w:spacing w:val="-27"/>
        </w:rPr>
        <w:t>报告 </w:t>
      </w:r>
      <w:r>
        <w:rPr>
          <w:rFonts w:ascii="Times New Roman" w:eastAsia="Times New Roman"/>
        </w:rPr>
        <w:t>1 </w:t>
      </w:r>
      <w:r>
        <w:rPr>
          <w:spacing w:val="-5"/>
        </w:rPr>
        <w:t>项以上，实践效果良好。</w:t>
      </w:r>
    </w:p>
    <w:p>
      <w:pPr>
        <w:pStyle w:val="BodyText"/>
        <w:spacing w:line="360" w:lineRule="auto"/>
        <w:ind w:left="131" w:right="260" w:firstLine="638"/>
      </w:pPr>
      <w:r>
        <w:rPr/>
        <w:t>（三</w:t>
      </w:r>
      <w:r>
        <w:rPr>
          <w:spacing w:val="-58"/>
        </w:rPr>
        <w:t>）</w:t>
      </w:r>
      <w:r>
        <w:rPr>
          <w:spacing w:val="-11"/>
        </w:rPr>
        <w:t>管理工作科学规范，获得过校级以上表彰且年度考核</w:t>
      </w:r>
      <w:r>
        <w:rPr>
          <w:spacing w:val="-40"/>
        </w:rPr>
        <w:t>有 </w:t>
      </w:r>
      <w:r>
        <w:rPr>
          <w:rFonts w:ascii="Times New Roman" w:hAnsi="Times New Roman" w:eastAsia="Times New Roman"/>
        </w:rPr>
        <w:t>1</w:t>
      </w:r>
      <w:r>
        <w:rPr>
          <w:rFonts w:ascii="Times New Roman" w:hAnsi="Times New Roman" w:eastAsia="Times New Roman"/>
          <w:spacing w:val="76"/>
        </w:rPr>
        <w:t> </w:t>
      </w:r>
      <w:r>
        <w:rPr>
          <w:spacing w:val="2"/>
        </w:rPr>
        <w:t>次为</w:t>
      </w:r>
      <w:r>
        <w:rPr>
          <w:rFonts w:ascii="Times New Roman" w:hAnsi="Times New Roman" w:eastAsia="Times New Roman"/>
          <w:spacing w:val="-9"/>
        </w:rPr>
        <w:t>“</w:t>
      </w:r>
      <w:r>
        <w:rPr/>
        <w:t>优秀</w:t>
      </w:r>
      <w:r>
        <w:rPr>
          <w:rFonts w:ascii="Times New Roman" w:hAnsi="Times New Roman" w:eastAsia="Times New Roman"/>
          <w:spacing w:val="-4"/>
        </w:rPr>
        <w:t>”</w:t>
      </w:r>
      <w:r>
        <w:rPr/>
        <w:t>。</w:t>
      </w:r>
    </w:p>
    <w:p>
      <w:pPr>
        <w:pStyle w:val="BodyText"/>
        <w:spacing w:line="404" w:lineRule="exact"/>
        <w:ind w:left="769"/>
      </w:pPr>
      <w:r>
        <w:rPr/>
        <w:t>第十四条 代表性成果要求</w:t>
      </w:r>
    </w:p>
    <w:p>
      <w:pPr>
        <w:pStyle w:val="BodyText"/>
        <w:spacing w:before="197"/>
        <w:ind w:left="769"/>
      </w:pPr>
      <w:r>
        <w:rPr/>
        <w:t>任现职以来，取得以下代表性成果累计 </w:t>
      </w:r>
      <w:r>
        <w:rPr>
          <w:rFonts w:ascii="Times New Roman" w:eastAsia="Times New Roman"/>
        </w:rPr>
        <w:t>5 </w:t>
      </w:r>
      <w:r>
        <w:rPr/>
        <w:t>项以上：</w:t>
      </w:r>
    </w:p>
    <w:p>
      <w:pPr>
        <w:pStyle w:val="BodyText"/>
        <w:spacing w:line="357" w:lineRule="auto" w:before="200"/>
        <w:ind w:left="131" w:right="259" w:firstLine="638"/>
      </w:pPr>
      <w:r>
        <w:rPr/>
        <w:t>（一</w:t>
      </w:r>
      <w:r>
        <w:rPr>
          <w:spacing w:val="-120"/>
        </w:rPr>
        <w:t>）</w:t>
      </w:r>
      <w:r>
        <w:rPr>
          <w:spacing w:val="-6"/>
        </w:rPr>
        <w:t>在省级以上刊物发表对教育管理工作有指导作用和较</w:t>
      </w:r>
      <w:r>
        <w:rPr/>
        <w:t>高水平论文，或撰写正式出版的教育管理方面的专著 </w:t>
      </w:r>
      <w:r>
        <w:rPr>
          <w:rFonts w:ascii="Times New Roman" w:eastAsia="Times New Roman"/>
        </w:rPr>
        <w:t>8 </w:t>
      </w:r>
      <w:r>
        <w:rPr>
          <w:spacing w:val="-5"/>
        </w:rPr>
        <w:t>万字以</w:t>
      </w:r>
    </w:p>
    <w:p>
      <w:pPr>
        <w:pStyle w:val="BodyText"/>
        <w:spacing w:line="407" w:lineRule="exact"/>
        <w:ind w:left="131"/>
      </w:pPr>
      <w:r>
        <w:rPr>
          <w:spacing w:val="-80"/>
        </w:rPr>
        <w:t>上。</w:t>
      </w:r>
      <w:r>
        <w:rPr>
          <w:spacing w:val="-5"/>
        </w:rPr>
        <w:t>（</w:t>
      </w:r>
      <w:r>
        <w:rPr>
          <w:spacing w:val="-40"/>
        </w:rPr>
        <w:t>限 </w:t>
      </w:r>
      <w:r>
        <w:rPr>
          <w:rFonts w:ascii="Times New Roman" w:eastAsia="Times New Roman"/>
        </w:rPr>
        <w:t>3 </w:t>
      </w:r>
      <w:r>
        <w:rPr>
          <w:spacing w:val="-5"/>
        </w:rPr>
        <w:t>项</w:t>
      </w:r>
      <w:r>
        <w:rPr/>
        <w:t>）</w:t>
      </w:r>
    </w:p>
    <w:p>
      <w:pPr>
        <w:pStyle w:val="BodyText"/>
        <w:spacing w:line="357" w:lineRule="auto" w:before="200"/>
        <w:ind w:left="131" w:right="260" w:firstLine="638"/>
        <w:jc w:val="both"/>
      </w:pPr>
      <w:r>
        <w:rPr/>
        <w:t>（二</w:t>
      </w:r>
      <w:r>
        <w:rPr>
          <w:spacing w:val="-39"/>
        </w:rPr>
        <w:t>）</w:t>
      </w:r>
      <w:r>
        <w:rPr>
          <w:spacing w:val="-10"/>
        </w:rPr>
        <w:t>承担并完成市</w:t>
      </w:r>
      <w:r>
        <w:rPr/>
        <w:t>（厅</w:t>
      </w:r>
      <w:r>
        <w:rPr>
          <w:spacing w:val="-44"/>
        </w:rPr>
        <w:t>）</w:t>
      </w:r>
      <w:r>
        <w:rPr>
          <w:spacing w:val="-6"/>
        </w:rPr>
        <w:t>级以上教育等主管部门的研究课</w:t>
      </w:r>
      <w:r>
        <w:rPr>
          <w:w w:val="100"/>
        </w:rPr>
        <w:t>题或工作课题（排名前</w:t>
      </w:r>
      <w:r>
        <w:rPr/>
        <w:t> </w:t>
      </w:r>
      <w:r>
        <w:rPr>
          <w:rFonts w:ascii="Times New Roman" w:eastAsia="Times New Roman"/>
          <w:spacing w:val="-3"/>
          <w:w w:val="100"/>
        </w:rPr>
        <w:t>3</w:t>
      </w:r>
      <w:r>
        <w:rPr>
          <w:spacing w:val="-159"/>
          <w:w w:val="100"/>
        </w:rPr>
        <w:t>）</w:t>
      </w:r>
      <w:r>
        <w:rPr>
          <w:spacing w:val="-2"/>
          <w:w w:val="100"/>
        </w:rPr>
        <w:t>，研究成果有较大的改革创新力度，</w:t>
      </w:r>
      <w:r>
        <w:rPr>
          <w:spacing w:val="-6"/>
        </w:rPr>
        <w:t>对高等学校教育管理工作有重要的指导作用。</w:t>
      </w:r>
    </w:p>
    <w:p>
      <w:pPr>
        <w:pStyle w:val="BodyText"/>
        <w:spacing w:line="357" w:lineRule="auto"/>
        <w:ind w:left="131" w:right="102" w:firstLine="638"/>
      </w:pPr>
      <w:r>
        <w:rPr/>
        <w:t>（三</w:t>
      </w:r>
      <w:r>
        <w:rPr>
          <w:spacing w:val="-58"/>
        </w:rPr>
        <w:t>）</w:t>
      </w:r>
      <w:r>
        <w:rPr>
          <w:spacing w:val="-8"/>
        </w:rPr>
        <w:t>在省级教育管理工作会议上做主题发言；或创新高校</w:t>
      </w:r>
      <w:r>
        <w:rPr>
          <w:spacing w:val="-13"/>
        </w:rPr>
        <w:t>教育管理工作模式，成效显著，且在校内外推广应用</w:t>
      </w:r>
      <w:r>
        <w:rPr>
          <w:spacing w:val="-202"/>
        </w:rPr>
        <w:t>。</w:t>
      </w:r>
      <w:r>
        <w:rPr/>
        <w:t>（</w:t>
      </w:r>
      <w:r>
        <w:rPr>
          <w:spacing w:val="-33"/>
        </w:rPr>
        <w:t>限 </w:t>
      </w:r>
      <w:r>
        <w:rPr>
          <w:rFonts w:ascii="Times New Roman" w:eastAsia="Times New Roman"/>
        </w:rPr>
        <w:t>2 </w:t>
      </w:r>
      <w:r>
        <w:rPr>
          <w:spacing w:val="-5"/>
        </w:rPr>
        <w:t>项</w:t>
      </w:r>
      <w:r>
        <w:rPr/>
        <w:t>）</w:t>
      </w:r>
    </w:p>
    <w:p>
      <w:pPr>
        <w:pStyle w:val="BodyText"/>
        <w:spacing w:line="407" w:lineRule="exact"/>
        <w:ind w:left="769"/>
      </w:pPr>
      <w:r>
        <w:rPr/>
        <w:t>（四）获得省级以上综合性表彰。（限 </w:t>
      </w:r>
      <w:r>
        <w:rPr>
          <w:rFonts w:ascii="Times New Roman" w:eastAsia="Times New Roman"/>
        </w:rPr>
        <w:t>2 </w:t>
      </w:r>
      <w:r>
        <w:rPr/>
        <w:t>项）</w:t>
      </w:r>
    </w:p>
    <w:p>
      <w:pPr>
        <w:pStyle w:val="BodyText"/>
        <w:spacing w:before="3"/>
        <w:rPr>
          <w:sz w:val="31"/>
        </w:rPr>
      </w:pPr>
    </w:p>
    <w:p>
      <w:pPr>
        <w:pStyle w:val="Heading2"/>
        <w:tabs>
          <w:tab w:pos="4009" w:val="left" w:leader="none"/>
        </w:tabs>
        <w:ind w:left="2569"/>
        <w:jc w:val="left"/>
      </w:pPr>
      <w:r>
        <w:rPr/>
        <w:t>第六章</w:t>
        <w:tab/>
        <w:t>研究员资格条件</w:t>
      </w:r>
    </w:p>
    <w:p>
      <w:pPr>
        <w:pStyle w:val="BodyText"/>
        <w:spacing w:before="5"/>
        <w:rPr>
          <w:sz w:val="33"/>
        </w:rPr>
      </w:pPr>
    </w:p>
    <w:p>
      <w:pPr>
        <w:pStyle w:val="BodyText"/>
        <w:ind w:left="769"/>
      </w:pPr>
      <w:r>
        <w:rPr/>
        <w:t>第十五条 学历、资历要求</w:t>
      </w:r>
    </w:p>
    <w:p>
      <w:pPr>
        <w:pStyle w:val="BodyText"/>
        <w:spacing w:line="357" w:lineRule="auto" w:before="200"/>
        <w:ind w:left="131" w:right="260" w:firstLine="638"/>
      </w:pPr>
      <w:r>
        <w:rPr/>
        <w:t>（一</w:t>
      </w:r>
      <w:r>
        <w:rPr>
          <w:spacing w:val="-58"/>
        </w:rPr>
        <w:t>）</w:t>
      </w:r>
      <w:r>
        <w:rPr>
          <w:spacing w:val="-9"/>
        </w:rPr>
        <w:t>具备大学本科及以上学历或学士及以上学位，取得副</w:t>
      </w:r>
      <w:r>
        <w:rPr>
          <w:spacing w:val="-15"/>
        </w:rPr>
        <w:t>研究员资格 </w:t>
      </w:r>
      <w:r>
        <w:rPr>
          <w:rFonts w:ascii="Times New Roman" w:eastAsia="Times New Roman"/>
        </w:rPr>
        <w:t>5 </w:t>
      </w:r>
      <w:r>
        <w:rPr>
          <w:spacing w:val="-2"/>
        </w:rPr>
        <w:t>年以上。</w:t>
      </w:r>
    </w:p>
    <w:p>
      <w:pPr>
        <w:spacing w:after="0" w:line="357" w:lineRule="auto"/>
        <w:sectPr>
          <w:pgSz w:w="11900" w:h="16840"/>
          <w:pgMar w:header="0" w:footer="1522" w:top="1600" w:bottom="1720" w:left="1400" w:right="1260"/>
        </w:sectPr>
      </w:pPr>
    </w:p>
    <w:p>
      <w:pPr>
        <w:pStyle w:val="BodyText"/>
        <w:rPr>
          <w:sz w:val="20"/>
        </w:rPr>
      </w:pPr>
    </w:p>
    <w:p>
      <w:pPr>
        <w:pStyle w:val="BodyText"/>
        <w:spacing w:before="2"/>
        <w:rPr>
          <w:sz w:val="23"/>
        </w:rPr>
      </w:pPr>
    </w:p>
    <w:p>
      <w:pPr>
        <w:pStyle w:val="BodyText"/>
        <w:spacing w:line="357" w:lineRule="auto" w:before="58"/>
        <w:ind w:left="131" w:right="260" w:firstLine="638"/>
      </w:pPr>
      <w:r>
        <w:rPr/>
        <w:t>（二</w:t>
      </w:r>
      <w:r>
        <w:rPr>
          <w:spacing w:val="-39"/>
        </w:rPr>
        <w:t>）</w:t>
      </w:r>
      <w:r>
        <w:rPr>
          <w:spacing w:val="-12"/>
        </w:rPr>
        <w:t>不具备规定学历，具备大学专科学历，从事教育管理</w:t>
      </w:r>
      <w:r>
        <w:rPr>
          <w:spacing w:val="-20"/>
        </w:rPr>
        <w:t>工作 </w:t>
      </w:r>
      <w:r>
        <w:rPr>
          <w:rFonts w:ascii="Times New Roman" w:eastAsia="Times New Roman"/>
        </w:rPr>
        <w:t>25</w:t>
      </w:r>
      <w:r>
        <w:rPr>
          <w:rFonts w:ascii="Times New Roman" w:eastAsia="Times New Roman"/>
          <w:spacing w:val="17"/>
        </w:rPr>
        <w:t> </w:t>
      </w:r>
      <w:r>
        <w:rPr>
          <w:spacing w:val="-9"/>
        </w:rPr>
        <w:t>年以上，取得副研究员资格满 </w:t>
      </w:r>
      <w:r>
        <w:rPr>
          <w:rFonts w:ascii="Times New Roman" w:eastAsia="Times New Roman"/>
        </w:rPr>
        <w:t>8</w:t>
      </w:r>
      <w:r>
        <w:rPr>
          <w:rFonts w:ascii="Times New Roman" w:eastAsia="Times New Roman"/>
          <w:spacing w:val="17"/>
        </w:rPr>
        <w:t> </w:t>
      </w:r>
      <w:r>
        <w:rPr>
          <w:spacing w:val="-4"/>
        </w:rPr>
        <w:t>年，业绩显著，任现职</w:t>
      </w:r>
    </w:p>
    <w:p>
      <w:pPr>
        <w:pStyle w:val="BodyText"/>
        <w:spacing w:line="407" w:lineRule="exact"/>
        <w:ind w:left="131"/>
        <w:rPr>
          <w:rFonts w:ascii="Times New Roman" w:hAnsi="Times New Roman" w:eastAsia="Times New Roman"/>
        </w:rPr>
      </w:pPr>
      <w:r>
        <w:rPr>
          <w:spacing w:val="-10"/>
        </w:rPr>
        <w:t>以来年度考核至少有 </w:t>
      </w:r>
      <w:r>
        <w:rPr>
          <w:rFonts w:ascii="Times New Roman" w:hAnsi="Times New Roman" w:eastAsia="Times New Roman"/>
        </w:rPr>
        <w:t>2</w:t>
      </w:r>
      <w:r>
        <w:rPr>
          <w:rFonts w:ascii="Times New Roman" w:hAnsi="Times New Roman" w:eastAsia="Times New Roman"/>
          <w:spacing w:val="7"/>
        </w:rPr>
        <w:t> </w:t>
      </w:r>
      <w:r>
        <w:rPr/>
        <w:t>次为</w:t>
      </w:r>
      <w:r>
        <w:rPr>
          <w:rFonts w:ascii="Times New Roman" w:hAnsi="Times New Roman" w:eastAsia="Times New Roman"/>
          <w:spacing w:val="-9"/>
        </w:rPr>
        <w:t>“</w:t>
      </w:r>
      <w:r>
        <w:rPr/>
        <w:t>优秀</w:t>
      </w:r>
      <w:r>
        <w:rPr>
          <w:rFonts w:ascii="Times New Roman" w:hAnsi="Times New Roman" w:eastAsia="Times New Roman"/>
          <w:spacing w:val="-4"/>
        </w:rPr>
        <w:t>”</w:t>
      </w:r>
      <w:r>
        <w:rPr>
          <w:spacing w:val="-9"/>
        </w:rPr>
        <w:t>。并须具备下列条件中的第 </w:t>
      </w:r>
      <w:r>
        <w:rPr>
          <w:rFonts w:ascii="Times New Roman" w:hAnsi="Times New Roman" w:eastAsia="Times New Roman"/>
        </w:rPr>
        <w:t>1</w:t>
      </w:r>
    </w:p>
    <w:p>
      <w:pPr>
        <w:pStyle w:val="BodyText"/>
        <w:spacing w:before="200"/>
        <w:ind w:left="131"/>
      </w:pPr>
      <w:r>
        <w:rPr/>
        <w:t>条和第 </w:t>
      </w:r>
      <w:r>
        <w:rPr>
          <w:rFonts w:ascii="Times New Roman" w:eastAsia="Times New Roman"/>
        </w:rPr>
        <w:t>2</w:t>
      </w:r>
      <w:r>
        <w:rPr/>
        <w:t>、</w:t>
      </w:r>
      <w:r>
        <w:rPr>
          <w:rFonts w:ascii="Times New Roman" w:eastAsia="Times New Roman"/>
        </w:rPr>
        <w:t>3</w:t>
      </w:r>
      <w:r>
        <w:rPr/>
        <w:t>、</w:t>
      </w:r>
      <w:r>
        <w:rPr>
          <w:rFonts w:ascii="Times New Roman" w:eastAsia="Times New Roman"/>
        </w:rPr>
        <w:t>4 </w:t>
      </w:r>
      <w:r>
        <w:rPr/>
        <w:t>条中的 </w:t>
      </w:r>
      <w:r>
        <w:rPr>
          <w:rFonts w:ascii="Times New Roman" w:eastAsia="Times New Roman"/>
        </w:rPr>
        <w:t>1 </w:t>
      </w:r>
      <w:r>
        <w:rPr/>
        <w:t>条：</w:t>
      </w:r>
    </w:p>
    <w:p>
      <w:pPr>
        <w:pStyle w:val="ListParagraph"/>
        <w:numPr>
          <w:ilvl w:val="0"/>
          <w:numId w:val="2"/>
        </w:numPr>
        <w:tabs>
          <w:tab w:pos="1173" w:val="left" w:leader="none"/>
        </w:tabs>
        <w:spacing w:line="357" w:lineRule="auto" w:before="204" w:after="0"/>
        <w:ind w:left="131" w:right="260" w:firstLine="638"/>
        <w:jc w:val="both"/>
        <w:rPr>
          <w:sz w:val="32"/>
        </w:rPr>
      </w:pPr>
      <w:r>
        <w:rPr>
          <w:sz w:val="32"/>
        </w:rPr>
        <w:t>在教育和管理类期刊发表对工作有指导作用的高水平论</w:t>
      </w:r>
      <w:r>
        <w:rPr>
          <w:spacing w:val="-30"/>
          <w:sz w:val="32"/>
        </w:rPr>
        <w:t>文 </w:t>
      </w:r>
      <w:r>
        <w:rPr>
          <w:rFonts w:ascii="Times New Roman" w:eastAsia="Times New Roman"/>
          <w:sz w:val="32"/>
        </w:rPr>
        <w:t>5</w:t>
      </w:r>
      <w:r>
        <w:rPr>
          <w:rFonts w:ascii="Times New Roman" w:eastAsia="Times New Roman"/>
          <w:spacing w:val="17"/>
          <w:sz w:val="32"/>
        </w:rPr>
        <w:t> </w:t>
      </w:r>
      <w:r>
        <w:rPr>
          <w:spacing w:val="-8"/>
          <w:sz w:val="32"/>
        </w:rPr>
        <w:t>篇以上，或撰写正式出版的教育管理方面的专著 </w:t>
      </w:r>
      <w:r>
        <w:rPr>
          <w:rFonts w:ascii="Times New Roman" w:eastAsia="Times New Roman"/>
          <w:sz w:val="32"/>
        </w:rPr>
        <w:t>10</w:t>
      </w:r>
      <w:r>
        <w:rPr>
          <w:rFonts w:ascii="Times New Roman" w:eastAsia="Times New Roman"/>
          <w:spacing w:val="16"/>
          <w:sz w:val="32"/>
        </w:rPr>
        <w:t> </w:t>
      </w:r>
      <w:r>
        <w:rPr>
          <w:spacing w:val="-4"/>
          <w:sz w:val="32"/>
        </w:rPr>
        <w:t>万字， </w:t>
      </w:r>
      <w:r>
        <w:rPr>
          <w:spacing w:val="-12"/>
          <w:sz w:val="32"/>
        </w:rPr>
        <w:t>可替代高水平论文 </w:t>
      </w:r>
      <w:r>
        <w:rPr>
          <w:rFonts w:ascii="Times New Roman" w:eastAsia="Times New Roman"/>
          <w:sz w:val="32"/>
        </w:rPr>
        <w:t>1 </w:t>
      </w:r>
      <w:r>
        <w:rPr>
          <w:spacing w:val="-12"/>
          <w:sz w:val="32"/>
        </w:rPr>
        <w:t>篇，替代数量不超过 </w:t>
      </w:r>
      <w:r>
        <w:rPr>
          <w:rFonts w:ascii="Times New Roman" w:eastAsia="Times New Roman"/>
          <w:sz w:val="32"/>
        </w:rPr>
        <w:t>2</w:t>
      </w:r>
      <w:r>
        <w:rPr>
          <w:rFonts w:ascii="Times New Roman" w:eastAsia="Times New Roman"/>
          <w:spacing w:val="-6"/>
          <w:sz w:val="32"/>
        </w:rPr>
        <w:t> </w:t>
      </w:r>
      <w:r>
        <w:rPr>
          <w:sz w:val="32"/>
        </w:rPr>
        <w:t>篇。</w:t>
      </w:r>
    </w:p>
    <w:p>
      <w:pPr>
        <w:pStyle w:val="ListParagraph"/>
        <w:numPr>
          <w:ilvl w:val="0"/>
          <w:numId w:val="2"/>
        </w:numPr>
        <w:tabs>
          <w:tab w:pos="1173" w:val="left" w:leader="none"/>
        </w:tabs>
        <w:spacing w:line="357" w:lineRule="auto" w:before="0" w:after="0"/>
        <w:ind w:left="131" w:right="259" w:firstLine="638"/>
        <w:jc w:val="both"/>
        <w:rPr>
          <w:sz w:val="32"/>
        </w:rPr>
      </w:pPr>
      <w:r>
        <w:rPr>
          <w:sz w:val="32"/>
        </w:rPr>
        <w:t>主持并完成省级以上教育等主管部门的研究课题或工作</w:t>
      </w:r>
      <w:r>
        <w:rPr>
          <w:spacing w:val="-12"/>
          <w:sz w:val="32"/>
        </w:rPr>
        <w:t>课题，研究成果有较大的改革创新力度，对高等学校教育管理工</w:t>
      </w:r>
      <w:r>
        <w:rPr>
          <w:spacing w:val="-3"/>
          <w:sz w:val="32"/>
        </w:rPr>
        <w:t>作有重要的指导作用。</w:t>
      </w:r>
    </w:p>
    <w:p>
      <w:pPr>
        <w:pStyle w:val="ListParagraph"/>
        <w:numPr>
          <w:ilvl w:val="0"/>
          <w:numId w:val="2"/>
        </w:numPr>
        <w:tabs>
          <w:tab w:pos="1173" w:val="left" w:leader="none"/>
        </w:tabs>
        <w:spacing w:line="406" w:lineRule="exact" w:before="0" w:after="0"/>
        <w:ind w:left="1172" w:right="0" w:hanging="403"/>
        <w:jc w:val="left"/>
        <w:rPr>
          <w:sz w:val="32"/>
        </w:rPr>
      </w:pPr>
      <w:r>
        <w:rPr>
          <w:spacing w:val="3"/>
          <w:sz w:val="32"/>
        </w:rPr>
        <w:t>获得教育管理方面省</w:t>
      </w:r>
      <w:r>
        <w:rPr>
          <w:sz w:val="32"/>
        </w:rPr>
        <w:t>（</w:t>
      </w:r>
      <w:r>
        <w:rPr>
          <w:spacing w:val="4"/>
          <w:sz w:val="32"/>
        </w:rPr>
        <w:t>部）</w:t>
      </w:r>
      <w:r>
        <w:rPr>
          <w:sz w:val="32"/>
        </w:rPr>
        <w:t>级科研成果二等奖以上奖励</w:t>
      </w:r>
    </w:p>
    <w:p>
      <w:pPr>
        <w:pStyle w:val="BodyText"/>
        <w:spacing w:before="196"/>
        <w:ind w:left="131"/>
      </w:pPr>
      <w:r>
        <w:rPr>
          <w:spacing w:val="-44"/>
          <w:w w:val="100"/>
        </w:rPr>
        <w:t>１项</w:t>
      </w:r>
      <w:r>
        <w:rPr>
          <w:spacing w:val="-5"/>
          <w:w w:val="100"/>
        </w:rPr>
        <w:t>（</w:t>
      </w:r>
      <w:r>
        <w:rPr>
          <w:spacing w:val="-2"/>
          <w:w w:val="100"/>
        </w:rPr>
        <w:t>排名前</w:t>
      </w:r>
      <w:r>
        <w:rPr>
          <w:spacing w:val="-79"/>
        </w:rPr>
        <w:t> </w:t>
      </w:r>
      <w:r>
        <w:rPr>
          <w:rFonts w:ascii="Times New Roman" w:eastAsia="Times New Roman"/>
          <w:spacing w:val="-3"/>
          <w:w w:val="100"/>
        </w:rPr>
        <w:t>3</w:t>
      </w:r>
      <w:r>
        <w:rPr>
          <w:spacing w:val="-159"/>
          <w:w w:val="100"/>
        </w:rPr>
        <w:t>）</w:t>
      </w:r>
      <w:r>
        <w:rPr>
          <w:spacing w:val="-38"/>
          <w:w w:val="100"/>
        </w:rPr>
        <w:t>，或获得省</w:t>
      </w:r>
      <w:r>
        <w:rPr>
          <w:spacing w:val="-5"/>
          <w:w w:val="100"/>
        </w:rPr>
        <w:t>（</w:t>
      </w:r>
      <w:r>
        <w:rPr>
          <w:w w:val="100"/>
        </w:rPr>
        <w:t>部</w:t>
      </w:r>
      <w:r>
        <w:rPr>
          <w:spacing w:val="-87"/>
          <w:w w:val="100"/>
        </w:rPr>
        <w:t>）</w:t>
      </w:r>
      <w:r>
        <w:rPr>
          <w:spacing w:val="-15"/>
          <w:w w:val="100"/>
        </w:rPr>
        <w:t>级科研成果奖１项</w:t>
      </w:r>
      <w:r>
        <w:rPr>
          <w:w w:val="100"/>
        </w:rPr>
        <w:t>（</w:t>
      </w:r>
      <w:r>
        <w:rPr>
          <w:spacing w:val="-2"/>
          <w:w w:val="100"/>
        </w:rPr>
        <w:t>排名前</w:t>
      </w:r>
      <w:r>
        <w:rPr>
          <w:spacing w:val="-79"/>
        </w:rPr>
        <w:t> </w:t>
      </w:r>
      <w:r>
        <w:rPr>
          <w:rFonts w:ascii="Times New Roman" w:eastAsia="Times New Roman"/>
          <w:spacing w:val="-8"/>
          <w:w w:val="100"/>
        </w:rPr>
        <w:t>2</w:t>
      </w:r>
      <w:r>
        <w:rPr>
          <w:spacing w:val="-164"/>
          <w:w w:val="100"/>
        </w:rPr>
        <w:t>）</w:t>
      </w:r>
      <w:r>
        <w:rPr>
          <w:w w:val="100"/>
        </w:rPr>
        <w:t>。</w:t>
      </w:r>
    </w:p>
    <w:p>
      <w:pPr>
        <w:pStyle w:val="ListParagraph"/>
        <w:numPr>
          <w:ilvl w:val="0"/>
          <w:numId w:val="2"/>
        </w:numPr>
        <w:tabs>
          <w:tab w:pos="1168" w:val="left" w:leader="none"/>
        </w:tabs>
        <w:spacing w:line="240" w:lineRule="auto" w:before="199" w:after="0"/>
        <w:ind w:left="1168" w:right="0" w:hanging="399"/>
        <w:jc w:val="left"/>
        <w:rPr>
          <w:sz w:val="32"/>
        </w:rPr>
      </w:pPr>
      <w:r>
        <w:rPr>
          <w:spacing w:val="-2"/>
          <w:sz w:val="32"/>
        </w:rPr>
        <w:t>获得国家级综合性表彰。</w:t>
      </w:r>
    </w:p>
    <w:p>
      <w:pPr>
        <w:pStyle w:val="BodyText"/>
        <w:spacing w:before="200"/>
        <w:ind w:left="769"/>
      </w:pPr>
      <w:r>
        <w:rPr/>
        <w:t>第十六条 专业理论知识与能力要求</w:t>
      </w:r>
    </w:p>
    <w:p>
      <w:pPr>
        <w:pStyle w:val="BodyText"/>
        <w:spacing w:line="357" w:lineRule="auto" w:before="199"/>
        <w:ind w:left="131" w:right="145" w:firstLine="638"/>
      </w:pPr>
      <w:r>
        <w:rPr/>
        <w:t>（一</w:t>
      </w:r>
      <w:r>
        <w:rPr>
          <w:spacing w:val="-58"/>
        </w:rPr>
        <w:t>）</w:t>
      </w:r>
      <w:r>
        <w:rPr>
          <w:spacing w:val="-9"/>
        </w:rPr>
        <w:t>教育管理专业知识和政策水平较高，掌握国内外教育</w:t>
      </w:r>
      <w:r>
        <w:rPr>
          <w:spacing w:val="-7"/>
        </w:rPr>
        <w:t>管理研究的前沿成果和发展趋势，熟谙高等教育管理工作规律， </w:t>
      </w:r>
      <w:r>
        <w:rPr>
          <w:spacing w:val="-5"/>
        </w:rPr>
        <w:t>能系统运用专业知识分析和解决管理工作中的重大问题。</w:t>
      </w:r>
    </w:p>
    <w:p>
      <w:pPr>
        <w:pStyle w:val="BodyText"/>
        <w:spacing w:line="357" w:lineRule="auto" w:before="1"/>
        <w:ind w:left="131" w:right="260" w:firstLine="638"/>
      </w:pPr>
      <w:r>
        <w:rPr/>
        <w:t>（二</w:t>
      </w:r>
      <w:r>
        <w:rPr>
          <w:spacing w:val="-58"/>
        </w:rPr>
        <w:t>）</w:t>
      </w:r>
      <w:r>
        <w:rPr>
          <w:spacing w:val="-11"/>
        </w:rPr>
        <w:t>具有科学的决策能力、综合管理能力和丰富的管理工</w:t>
      </w:r>
      <w:r>
        <w:rPr>
          <w:spacing w:val="-5"/>
        </w:rPr>
        <w:t>作经验，开拓进取，在本校事业发展中作出突出贡献。</w:t>
      </w:r>
    </w:p>
    <w:p>
      <w:pPr>
        <w:pStyle w:val="BodyText"/>
        <w:spacing w:line="407" w:lineRule="exact"/>
        <w:ind w:left="769"/>
      </w:pPr>
      <w:r>
        <w:rPr/>
        <w:t>第十七条 代表性成果要求</w:t>
      </w:r>
    </w:p>
    <w:p>
      <w:pPr>
        <w:pStyle w:val="BodyText"/>
        <w:spacing w:before="200"/>
        <w:ind w:left="769"/>
      </w:pPr>
      <w:r>
        <w:rPr/>
        <w:t>任现职以来，取得以下代表性成果累计 </w:t>
      </w:r>
      <w:r>
        <w:rPr>
          <w:rFonts w:ascii="Times New Roman" w:eastAsia="Times New Roman"/>
        </w:rPr>
        <w:t>8 </w:t>
      </w:r>
      <w:r>
        <w:rPr/>
        <w:t>项以上：</w:t>
      </w:r>
    </w:p>
    <w:p>
      <w:pPr>
        <w:spacing w:after="0"/>
        <w:sectPr>
          <w:pgSz w:w="11900" w:h="16840"/>
          <w:pgMar w:header="0" w:footer="1522" w:top="1600" w:bottom="1720" w:left="1400" w:right="1260"/>
        </w:sectPr>
      </w:pPr>
    </w:p>
    <w:p>
      <w:pPr>
        <w:pStyle w:val="BodyText"/>
        <w:rPr>
          <w:sz w:val="20"/>
        </w:rPr>
      </w:pPr>
    </w:p>
    <w:p>
      <w:pPr>
        <w:pStyle w:val="BodyText"/>
        <w:spacing w:before="2"/>
        <w:rPr>
          <w:sz w:val="23"/>
        </w:rPr>
      </w:pPr>
    </w:p>
    <w:p>
      <w:pPr>
        <w:pStyle w:val="BodyText"/>
        <w:spacing w:line="357" w:lineRule="auto" w:before="58"/>
        <w:ind w:left="131" w:right="259" w:firstLine="638"/>
        <w:jc w:val="both"/>
      </w:pPr>
      <w:r>
        <w:rPr/>
        <w:t>（一</w:t>
      </w:r>
      <w:r>
        <w:rPr>
          <w:spacing w:val="-120"/>
        </w:rPr>
        <w:t>）</w:t>
      </w:r>
      <w:r>
        <w:rPr>
          <w:spacing w:val="-6"/>
        </w:rPr>
        <w:t>在省级以上刊物发表对教育管理工作有指导作用和较</w:t>
      </w:r>
      <w:r>
        <w:rPr>
          <w:spacing w:val="-7"/>
        </w:rPr>
        <w:t>高水平论文，或撰写正式出版的教育管理方面的专著 </w:t>
      </w:r>
      <w:r>
        <w:rPr>
          <w:rFonts w:ascii="Times New Roman" w:eastAsia="Times New Roman"/>
        </w:rPr>
        <w:t>10 </w:t>
      </w:r>
      <w:r>
        <w:rPr>
          <w:spacing w:val="-4"/>
        </w:rPr>
        <w:t>万字以</w:t>
      </w:r>
    </w:p>
    <w:p>
      <w:pPr>
        <w:pStyle w:val="BodyText"/>
        <w:spacing w:line="407" w:lineRule="exact"/>
        <w:ind w:left="131"/>
      </w:pPr>
      <w:r>
        <w:rPr>
          <w:spacing w:val="-80"/>
        </w:rPr>
        <w:t>上。</w:t>
      </w:r>
      <w:r>
        <w:rPr>
          <w:spacing w:val="-5"/>
        </w:rPr>
        <w:t>（</w:t>
      </w:r>
      <w:r>
        <w:rPr>
          <w:spacing w:val="-40"/>
        </w:rPr>
        <w:t>限 </w:t>
      </w:r>
      <w:r>
        <w:rPr>
          <w:rFonts w:ascii="Times New Roman" w:eastAsia="Times New Roman"/>
        </w:rPr>
        <w:t>6 </w:t>
      </w:r>
      <w:r>
        <w:rPr>
          <w:spacing w:val="-5"/>
        </w:rPr>
        <w:t>项</w:t>
      </w:r>
      <w:r>
        <w:rPr/>
        <w:t>）</w:t>
      </w:r>
    </w:p>
    <w:p>
      <w:pPr>
        <w:pStyle w:val="BodyText"/>
        <w:spacing w:line="357" w:lineRule="auto" w:before="200"/>
        <w:ind w:left="131" w:right="259" w:firstLine="638"/>
        <w:jc w:val="both"/>
      </w:pPr>
      <w:r>
        <w:rPr/>
        <w:t>（二</w:t>
      </w:r>
      <w:r>
        <w:rPr>
          <w:spacing w:val="-120"/>
        </w:rPr>
        <w:t>）</w:t>
      </w:r>
      <w:r>
        <w:rPr>
          <w:spacing w:val="-6"/>
        </w:rPr>
        <w:t>主持并完成省级以上教育等主管部门的研究课题或工</w:t>
      </w:r>
      <w:r>
        <w:rPr>
          <w:spacing w:val="-12"/>
        </w:rPr>
        <w:t>作课题，研究成果有较大的改革创新力度，对高等学校教育管理</w:t>
      </w:r>
      <w:r>
        <w:rPr>
          <w:spacing w:val="-4"/>
        </w:rPr>
        <w:t>工作有重要的指导作用。</w:t>
      </w:r>
    </w:p>
    <w:p>
      <w:pPr>
        <w:pStyle w:val="BodyText"/>
        <w:spacing w:line="357" w:lineRule="auto"/>
        <w:ind w:left="131" w:right="102" w:firstLine="638"/>
      </w:pPr>
      <w:r>
        <w:rPr/>
        <w:t>（三</w:t>
      </w:r>
      <w:r>
        <w:rPr>
          <w:spacing w:val="-58"/>
        </w:rPr>
        <w:t>）</w:t>
      </w:r>
      <w:r>
        <w:rPr>
          <w:spacing w:val="-8"/>
        </w:rPr>
        <w:t>在全国教育管理工作会议上做主题发言；或创新高校</w:t>
      </w:r>
      <w:r>
        <w:rPr>
          <w:spacing w:val="-13"/>
        </w:rPr>
        <w:t>教育管理工作模式，成效显著，且在省内外推广应用</w:t>
      </w:r>
      <w:r>
        <w:rPr>
          <w:spacing w:val="-202"/>
        </w:rPr>
        <w:t>。</w:t>
      </w:r>
      <w:r>
        <w:rPr/>
        <w:t>（</w:t>
      </w:r>
      <w:r>
        <w:rPr>
          <w:spacing w:val="-33"/>
        </w:rPr>
        <w:t>限 </w:t>
      </w:r>
      <w:r>
        <w:rPr>
          <w:rFonts w:ascii="Times New Roman" w:eastAsia="Times New Roman"/>
        </w:rPr>
        <w:t>2 </w:t>
      </w:r>
      <w:r>
        <w:rPr>
          <w:spacing w:val="-5"/>
        </w:rPr>
        <w:t>项</w:t>
      </w:r>
      <w:r>
        <w:rPr/>
        <w:t>）</w:t>
      </w:r>
    </w:p>
    <w:p>
      <w:pPr>
        <w:pStyle w:val="BodyText"/>
        <w:spacing w:line="407" w:lineRule="exact"/>
        <w:ind w:left="769"/>
      </w:pPr>
      <w:r>
        <w:rPr/>
        <w:t>（四）获得国家级综合性表彰。（限 </w:t>
      </w:r>
      <w:r>
        <w:rPr>
          <w:rFonts w:ascii="Times New Roman" w:eastAsia="Times New Roman"/>
        </w:rPr>
        <w:t>2 </w:t>
      </w:r>
      <w:r>
        <w:rPr/>
        <w:t>项）</w:t>
      </w:r>
    </w:p>
    <w:p>
      <w:pPr>
        <w:pStyle w:val="BodyText"/>
        <w:spacing w:before="3"/>
        <w:rPr>
          <w:sz w:val="31"/>
        </w:rPr>
      </w:pPr>
    </w:p>
    <w:p>
      <w:pPr>
        <w:pStyle w:val="Heading2"/>
        <w:tabs>
          <w:tab w:pos="1439" w:val="left" w:leader="none"/>
        </w:tabs>
        <w:ind w:right="143"/>
      </w:pPr>
      <w:r>
        <w:rPr/>
        <w:t>第七章</w:t>
        <w:tab/>
        <w:t>附则</w:t>
      </w:r>
    </w:p>
    <w:p>
      <w:pPr>
        <w:pStyle w:val="BodyText"/>
        <w:spacing w:before="5"/>
        <w:rPr>
          <w:sz w:val="33"/>
        </w:rPr>
      </w:pPr>
    </w:p>
    <w:p>
      <w:pPr>
        <w:pStyle w:val="BodyText"/>
        <w:spacing w:line="357" w:lineRule="auto"/>
        <w:ind w:left="131" w:right="255" w:firstLine="638"/>
        <w:jc w:val="both"/>
      </w:pPr>
      <w:r>
        <w:rPr/>
        <w:t>第十八条 申报人应当为本单位在职在岗的教育管理人员， </w:t>
      </w:r>
      <w:r>
        <w:rPr>
          <w:spacing w:val="-13"/>
        </w:rPr>
        <w:t>对照相应级别专业技术资格条件，在规定期限内按程序提交申报</w:t>
      </w:r>
      <w:r>
        <w:rPr>
          <w:spacing w:val="-11"/>
        </w:rPr>
        <w:t>材料，并对所申报材料的真实性负责，成果不得重复使用。高校</w:t>
      </w:r>
      <w:r>
        <w:rPr>
          <w:spacing w:val="3"/>
        </w:rPr>
        <w:t>教育管理人员不得申报教师系列以及学生思想政治教育教师系列职称。</w:t>
      </w:r>
    </w:p>
    <w:p>
      <w:pPr>
        <w:pStyle w:val="BodyText"/>
        <w:spacing w:line="403" w:lineRule="exact"/>
        <w:ind w:left="769"/>
      </w:pPr>
      <w:r>
        <w:rPr/>
        <w:t>第十九条 申报人一般应按照职称层级逐级申报职称。</w:t>
      </w:r>
    </w:p>
    <w:p>
      <w:pPr>
        <w:pStyle w:val="BodyText"/>
        <w:spacing w:line="357" w:lineRule="auto" w:before="205"/>
        <w:ind w:left="131" w:right="259" w:firstLine="638"/>
        <w:jc w:val="both"/>
      </w:pPr>
      <w:r>
        <w:rPr>
          <w:spacing w:val="-16"/>
        </w:rPr>
        <w:t>党政机关</w:t>
      </w:r>
      <w:r>
        <w:rPr/>
        <w:t>（</w:t>
      </w:r>
      <w:r>
        <w:rPr>
          <w:spacing w:val="-4"/>
        </w:rPr>
        <w:t>含参公管理单位</w:t>
      </w:r>
      <w:r>
        <w:rPr>
          <w:spacing w:val="-58"/>
        </w:rPr>
        <w:t>）</w:t>
      </w:r>
      <w:r>
        <w:rPr>
          <w:spacing w:val="-6"/>
        </w:rPr>
        <w:t>和部队退役调入转入高校从事</w:t>
      </w:r>
      <w:r>
        <w:rPr>
          <w:spacing w:val="-12"/>
        </w:rPr>
        <w:t>教育管理的人员，可直接申报助理研究员职称，其在原单位取得</w:t>
      </w:r>
      <w:r>
        <w:rPr>
          <w:spacing w:val="-5"/>
        </w:rPr>
        <w:t>的相关工作业绩与成果视为专业技术业绩。</w:t>
      </w:r>
    </w:p>
    <w:p>
      <w:pPr>
        <w:pStyle w:val="BodyText"/>
        <w:spacing w:line="406" w:lineRule="exact"/>
        <w:ind w:left="769"/>
      </w:pPr>
      <w:r>
        <w:rPr/>
        <w:t>第二十条 对通过弄虚作假、暗箱操作等违纪违规行为取得</w:t>
      </w:r>
    </w:p>
    <w:p>
      <w:pPr>
        <w:spacing w:after="0" w:line="406" w:lineRule="exact"/>
        <w:sectPr>
          <w:pgSz w:w="11900" w:h="16840"/>
          <w:pgMar w:header="0" w:footer="1522" w:top="1600" w:bottom="1720" w:left="1400" w:right="1260"/>
        </w:sectPr>
      </w:pPr>
    </w:p>
    <w:p>
      <w:pPr>
        <w:pStyle w:val="BodyText"/>
        <w:rPr>
          <w:sz w:val="20"/>
        </w:rPr>
      </w:pPr>
    </w:p>
    <w:p>
      <w:pPr>
        <w:pStyle w:val="BodyText"/>
        <w:spacing w:before="2"/>
        <w:rPr>
          <w:sz w:val="23"/>
        </w:rPr>
      </w:pPr>
    </w:p>
    <w:p>
      <w:pPr>
        <w:pStyle w:val="BodyText"/>
        <w:spacing w:line="357" w:lineRule="auto" w:before="58"/>
        <w:ind w:left="131" w:right="260"/>
        <w:jc w:val="both"/>
      </w:pPr>
      <w:r>
        <w:rPr>
          <w:spacing w:val="-12"/>
        </w:rPr>
        <w:t>的职称，一经查实，由发文单位予以撤销，失信行为由省人力资源社会保障厅记入诚信档案库，并报送省信用信息共享平台，记</w:t>
      </w:r>
      <w:r>
        <w:rPr>
          <w:spacing w:val="-20"/>
        </w:rPr>
        <w:t>录期为 </w:t>
      </w:r>
      <w:r>
        <w:rPr>
          <w:rFonts w:ascii="Times New Roman" w:eastAsia="Times New Roman"/>
        </w:rPr>
        <w:t>3 </w:t>
      </w:r>
      <w:r>
        <w:rPr>
          <w:spacing w:val="-5"/>
        </w:rPr>
        <w:t>年，记录期从发文撤销职称之日起算。</w:t>
      </w:r>
    </w:p>
    <w:p>
      <w:pPr>
        <w:pStyle w:val="BodyText"/>
        <w:spacing w:line="357" w:lineRule="auto"/>
        <w:ind w:left="131" w:right="102" w:firstLine="638"/>
      </w:pPr>
      <w:r>
        <w:rPr/>
        <w:t>第二十一条 各高校可结合学校发展目标与定位、高校教育</w:t>
      </w:r>
      <w:r>
        <w:rPr>
          <w:spacing w:val="-12"/>
        </w:rPr>
        <w:t>管理人员队伍建设规划，切实履行职称评审主体责任，制定不低</w:t>
      </w:r>
      <w:r>
        <w:rPr>
          <w:spacing w:val="-22"/>
        </w:rPr>
        <w:t>于本资格条件的自主评价标准，制定职称评审办法、操作方案等， </w:t>
      </w:r>
      <w:r>
        <w:rPr>
          <w:spacing w:val="-12"/>
        </w:rPr>
        <w:t>明确职称评审责任、评审标准、评审程序。省人力资源社会保障</w:t>
      </w:r>
      <w:r>
        <w:rPr>
          <w:spacing w:val="-8"/>
        </w:rPr>
        <w:t>厅、省教育厅将采取</w:t>
      </w:r>
      <w:r>
        <w:rPr>
          <w:rFonts w:ascii="Times New Roman" w:hAnsi="Times New Roman" w:eastAsia="Times New Roman"/>
          <w:spacing w:val="-9"/>
        </w:rPr>
        <w:t>“</w:t>
      </w:r>
      <w:r>
        <w:rPr/>
        <w:t>双随机</w:t>
      </w:r>
      <w:r>
        <w:rPr>
          <w:rFonts w:ascii="Times New Roman" w:hAnsi="Times New Roman" w:eastAsia="Times New Roman"/>
          <w:spacing w:val="-4"/>
        </w:rPr>
        <w:t>”</w:t>
      </w:r>
      <w:r>
        <w:rPr>
          <w:spacing w:val="-8"/>
        </w:rPr>
        <w:t>方式按一定比例，对高校职称评审</w:t>
      </w:r>
      <w:r>
        <w:rPr>
          <w:spacing w:val="-14"/>
        </w:rPr>
        <w:t>工作不定期开展抽查，对发现问题责令整改；对整改不力或逾期</w:t>
      </w:r>
      <w:r>
        <w:rPr>
          <w:spacing w:val="-22"/>
        </w:rPr>
        <w:t>不予整改的，暂停自主评审资格直至收回评审权；对用不好授权、</w:t>
      </w:r>
      <w:r>
        <w:rPr>
          <w:spacing w:val="-5"/>
        </w:rPr>
        <w:t>履责不到位的按照有关规定予以问责。</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5"/>
        </w:rPr>
      </w:pPr>
    </w:p>
    <w:p>
      <w:pPr>
        <w:spacing w:before="68"/>
        <w:ind w:left="0" w:right="270" w:firstLine="0"/>
        <w:jc w:val="right"/>
        <w:rPr>
          <w:sz w:val="28"/>
        </w:rPr>
      </w:pPr>
      <w:r>
        <w:rPr>
          <w:sz w:val="28"/>
        </w:rPr>
        <w:t>— </w:t>
      </w:r>
      <w:r>
        <w:rPr>
          <w:rFonts w:ascii="Times New Roman" w:hAnsi="Times New Roman"/>
          <w:sz w:val="28"/>
        </w:rPr>
        <w:t>11 </w:t>
      </w:r>
      <w:r>
        <w:rPr>
          <w:sz w:val="28"/>
        </w:rPr>
        <w:t>—</w:t>
      </w:r>
    </w:p>
    <w:p>
      <w:pPr>
        <w:spacing w:after="0"/>
        <w:jc w:val="right"/>
        <w:rPr>
          <w:sz w:val="28"/>
        </w:rPr>
        <w:sectPr>
          <w:footerReference w:type="default" r:id="rId8"/>
          <w:pgSz w:w="11900" w:h="16840"/>
          <w:pgMar w:footer="0" w:header="0" w:top="1600" w:bottom="280" w:left="1400" w:right="12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pStyle w:val="BodyText"/>
        <w:spacing w:line="30" w:lineRule="exact"/>
        <w:ind w:left="-52"/>
        <w:rPr>
          <w:sz w:val="3"/>
        </w:rPr>
      </w:pPr>
      <w:r>
        <w:rPr>
          <w:position w:val="0"/>
          <w:sz w:val="3"/>
        </w:rPr>
        <w:pict>
          <v:group style="width:458.65pt;height:1.45pt;mso-position-horizontal-relative:char;mso-position-vertical-relative:line" coordorigin="0,0" coordsize="9173,29">
            <v:line style="position:absolute" from="0,14" to="9173,14" stroked="true" strokeweight="1.44pt" strokecolor="#000000">
              <v:stroke dashstyle="solid"/>
            </v:line>
          </v:group>
        </w:pict>
      </w:r>
      <w:r>
        <w:rPr>
          <w:position w:val="0"/>
          <w:sz w:val="3"/>
        </w:rPr>
      </w:r>
    </w:p>
    <w:p>
      <w:pPr>
        <w:tabs>
          <w:tab w:pos="6419" w:val="left" w:leader="none"/>
        </w:tabs>
        <w:spacing w:before="117"/>
        <w:ind w:left="102" w:right="0" w:firstLine="0"/>
        <w:jc w:val="left"/>
        <w:rPr>
          <w:sz w:val="28"/>
        </w:rPr>
      </w:pPr>
      <w:r>
        <w:rPr/>
        <w:pict>
          <v:line style="position:absolute;mso-position-horizontal-relative:page;mso-position-vertical-relative:paragraph;z-index:1120" from="67.440002pt,32.810005pt" to="527.280002pt,32.810005pt" stroked="true" strokeweight="1.44pt" strokecolor="#000000">
            <v:stroke dashstyle="solid"/>
            <w10:wrap type="none"/>
          </v:line>
        </w:pict>
      </w:r>
      <w:r>
        <w:rPr>
          <w:spacing w:val="-34"/>
          <w:w w:val="90"/>
          <w:sz w:val="28"/>
        </w:rPr>
        <w:t>江</w:t>
      </w:r>
      <w:r>
        <w:rPr>
          <w:spacing w:val="-29"/>
          <w:w w:val="90"/>
          <w:sz w:val="28"/>
        </w:rPr>
        <w:t>苏省</w:t>
      </w:r>
      <w:r>
        <w:rPr>
          <w:spacing w:val="-34"/>
          <w:w w:val="90"/>
          <w:sz w:val="28"/>
        </w:rPr>
        <w:t>专</w:t>
      </w:r>
      <w:r>
        <w:rPr>
          <w:spacing w:val="-29"/>
          <w:w w:val="90"/>
          <w:sz w:val="28"/>
        </w:rPr>
        <w:t>业</w:t>
      </w:r>
      <w:r>
        <w:rPr>
          <w:spacing w:val="-34"/>
          <w:w w:val="90"/>
          <w:sz w:val="28"/>
        </w:rPr>
        <w:t>技</w:t>
      </w:r>
      <w:r>
        <w:rPr>
          <w:spacing w:val="-29"/>
          <w:w w:val="90"/>
          <w:sz w:val="28"/>
        </w:rPr>
        <w:t>术人</w:t>
      </w:r>
      <w:r>
        <w:rPr>
          <w:spacing w:val="-34"/>
          <w:w w:val="90"/>
          <w:sz w:val="28"/>
        </w:rPr>
        <w:t>员</w:t>
      </w:r>
      <w:r>
        <w:rPr>
          <w:spacing w:val="-29"/>
          <w:w w:val="90"/>
          <w:sz w:val="28"/>
        </w:rPr>
        <w:t>职</w:t>
      </w:r>
      <w:r>
        <w:rPr>
          <w:spacing w:val="-30"/>
          <w:w w:val="90"/>
          <w:sz w:val="28"/>
        </w:rPr>
        <w:t>称</w:t>
      </w:r>
      <w:r>
        <w:rPr>
          <w:spacing w:val="-34"/>
          <w:w w:val="90"/>
          <w:sz w:val="28"/>
        </w:rPr>
        <w:t>（</w:t>
      </w:r>
      <w:r>
        <w:rPr>
          <w:spacing w:val="-29"/>
          <w:w w:val="90"/>
          <w:sz w:val="28"/>
        </w:rPr>
        <w:t>职业</w:t>
      </w:r>
      <w:r>
        <w:rPr>
          <w:spacing w:val="-34"/>
          <w:w w:val="90"/>
          <w:sz w:val="28"/>
        </w:rPr>
        <w:t>资</w:t>
      </w:r>
      <w:r>
        <w:rPr>
          <w:spacing w:val="-29"/>
          <w:w w:val="90"/>
          <w:sz w:val="28"/>
        </w:rPr>
        <w:t>格</w:t>
      </w:r>
      <w:r>
        <w:rPr>
          <w:spacing w:val="-34"/>
          <w:w w:val="90"/>
          <w:sz w:val="28"/>
        </w:rPr>
        <w:t>）</w:t>
      </w:r>
      <w:r>
        <w:rPr>
          <w:spacing w:val="-29"/>
          <w:w w:val="90"/>
          <w:sz w:val="28"/>
        </w:rPr>
        <w:t>工作</w:t>
      </w:r>
      <w:r>
        <w:rPr>
          <w:spacing w:val="-34"/>
          <w:w w:val="90"/>
          <w:sz w:val="28"/>
        </w:rPr>
        <w:t>领</w:t>
      </w:r>
      <w:r>
        <w:rPr>
          <w:spacing w:val="-29"/>
          <w:w w:val="90"/>
          <w:sz w:val="28"/>
        </w:rPr>
        <w:t>导</w:t>
      </w:r>
      <w:r>
        <w:rPr>
          <w:spacing w:val="-34"/>
          <w:w w:val="90"/>
          <w:sz w:val="28"/>
        </w:rPr>
        <w:t>小组</w:t>
      </w:r>
      <w:r>
        <w:rPr>
          <w:spacing w:val="9"/>
          <w:w w:val="90"/>
          <w:sz w:val="28"/>
        </w:rPr>
        <w:t>办</w:t>
      </w:r>
      <w:r>
        <w:rPr>
          <w:spacing w:val="4"/>
          <w:w w:val="90"/>
          <w:sz w:val="28"/>
        </w:rPr>
        <w:t>公</w:t>
      </w:r>
      <w:r>
        <w:rPr>
          <w:w w:val="90"/>
          <w:sz w:val="28"/>
        </w:rPr>
        <w:t>室</w:t>
        <w:tab/>
      </w:r>
      <w:r>
        <w:rPr>
          <w:rFonts w:ascii="Times New Roman" w:eastAsia="Times New Roman"/>
          <w:spacing w:val="3"/>
          <w:sz w:val="28"/>
        </w:rPr>
        <w:t>2021</w:t>
      </w:r>
      <w:r>
        <w:rPr>
          <w:rFonts w:ascii="Times New Roman" w:eastAsia="Times New Roman"/>
          <w:spacing w:val="-22"/>
          <w:sz w:val="28"/>
        </w:rPr>
        <w:t> </w:t>
      </w:r>
      <w:r>
        <w:rPr>
          <w:sz w:val="28"/>
        </w:rPr>
        <w:t>年</w:t>
      </w:r>
      <w:r>
        <w:rPr>
          <w:spacing w:val="-89"/>
          <w:sz w:val="28"/>
        </w:rPr>
        <w:t> </w:t>
      </w:r>
      <w:r>
        <w:rPr>
          <w:rFonts w:ascii="Times New Roman" w:eastAsia="Times New Roman"/>
          <w:sz w:val="28"/>
        </w:rPr>
        <w:t>12</w:t>
      </w:r>
      <w:r>
        <w:rPr>
          <w:rFonts w:ascii="Times New Roman" w:eastAsia="Times New Roman"/>
          <w:spacing w:val="-21"/>
          <w:sz w:val="28"/>
        </w:rPr>
        <w:t> </w:t>
      </w:r>
      <w:r>
        <w:rPr>
          <w:sz w:val="28"/>
        </w:rPr>
        <w:t>月</w:t>
      </w:r>
      <w:r>
        <w:rPr>
          <w:spacing w:val="-89"/>
          <w:sz w:val="28"/>
        </w:rPr>
        <w:t> </w:t>
      </w:r>
      <w:r>
        <w:rPr>
          <w:rFonts w:ascii="Times New Roman" w:eastAsia="Times New Roman"/>
          <w:sz w:val="28"/>
        </w:rPr>
        <w:t>9</w:t>
      </w:r>
      <w:r>
        <w:rPr>
          <w:rFonts w:ascii="Times New Roman" w:eastAsia="Times New Roman"/>
          <w:spacing w:val="-22"/>
          <w:sz w:val="28"/>
        </w:rPr>
        <w:t> </w:t>
      </w:r>
      <w:r>
        <w:rPr>
          <w:spacing w:val="4"/>
          <w:sz w:val="28"/>
        </w:rPr>
        <w:t>日印</w:t>
      </w:r>
      <w:r>
        <w:rPr>
          <w:sz w:val="28"/>
        </w:rPr>
        <w:t>发</w:t>
      </w:r>
    </w:p>
    <w:sectPr>
      <w:footerReference w:type="even" r:id="rId9"/>
      <w:pgSz w:w="11900" w:h="16840"/>
      <w:pgMar w:footer="0" w:header="0" w:top="1600" w:bottom="280" w:left="140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68.679993pt;margin-top:754.91571pt;width:50.75pt;height:17.45pt;mso-position-horizontal-relative:page;mso-position-vertical-relative:page;z-index:-8656" type="#_x0000_t202" filled="false" stroked="false">
          <v:textbox inset="0,0,0,0">
            <w:txbxContent>
              <w:p>
                <w:pPr>
                  <w:spacing w:line="347" w:lineRule="exact" w:before="0"/>
                  <w:ind w:left="20" w:right="0" w:firstLine="0"/>
                  <w:jc w:val="left"/>
                  <w:rPr>
                    <w:sz w:val="28"/>
                  </w:rPr>
                </w:pPr>
                <w:r>
                  <w:rPr>
                    <w:sz w:val="28"/>
                  </w:rPr>
                  <w:t>— </w:t>
                </w:r>
                <w:r>
                  <w:rPr/>
                  <w:fldChar w:fldCharType="begin"/>
                </w:r>
                <w:r>
                  <w:rPr>
                    <w:rFonts w:ascii="Times New Roman" w:hAnsi="Times New Roman"/>
                    <w:sz w:val="28"/>
                  </w:rPr>
                  <w:instrText> PAGE </w:instrText>
                </w:r>
                <w:r>
                  <w:rPr/>
                  <w:fldChar w:fldCharType="separate"/>
                </w:r>
                <w:r>
                  <w:rPr/>
                  <w:t>1</w:t>
                </w:r>
                <w:r>
                  <w:rPr/>
                  <w:fldChar w:fldCharType="end"/>
                </w:r>
                <w:r>
                  <w:rPr>
                    <w:rFonts w:ascii="Times New Roman" w:hAnsi="Times New Roman"/>
                    <w:spacing w:val="64"/>
                    <w:sz w:val="28"/>
                  </w:rPr>
                  <w:t> </w:t>
                </w:r>
                <w:r>
                  <w:rPr>
                    <w:sz w:val="28"/>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559998pt;margin-top:754.91571pt;width:57.7pt;height:17.45pt;mso-position-horizontal-relative:page;mso-position-vertical-relative:page;z-index:-8632" type="#_x0000_t202" filled="false" stroked="false">
          <v:textbox inset="0,0,0,0">
            <w:txbxContent>
              <w:p>
                <w:pPr>
                  <w:spacing w:line="347" w:lineRule="exact" w:before="0"/>
                  <w:ind w:left="20" w:right="0" w:firstLine="0"/>
                  <w:jc w:val="left"/>
                  <w:rPr>
                    <w:sz w:val="28"/>
                  </w:rPr>
                </w:pPr>
                <w:r>
                  <w:rPr>
                    <w:sz w:val="28"/>
                  </w:rPr>
                  <w:t>— </w:t>
                </w:r>
                <w:r>
                  <w:rPr/>
                  <w:fldChar w:fldCharType="begin"/>
                </w:r>
                <w:r>
                  <w:rPr>
                    <w:rFonts w:ascii="Times New Roman" w:hAnsi="Times New Roman"/>
                    <w:sz w:val="28"/>
                  </w:rPr>
                  <w:instrText> PAGE </w:instrText>
                </w:r>
                <w:r>
                  <w:rPr/>
                  <w:fldChar w:fldCharType="separate"/>
                </w:r>
                <w:r>
                  <w:rPr/>
                  <w:t>10</w:t>
                </w:r>
                <w:r>
                  <w:rPr/>
                  <w:fldChar w:fldCharType="end"/>
                </w:r>
                <w:r>
                  <w:rPr>
                    <w:rFonts w:ascii="Times New Roman" w:hAnsi="Times New Roman"/>
                    <w:spacing w:val="63"/>
                    <w:sz w:val="28"/>
                  </w:rPr>
                  <w:t> </w:t>
                </w:r>
                <w:r>
                  <w:rPr>
                    <w:sz w:val="28"/>
                  </w:rPr>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1" w:hanging="404"/>
        <w:jc w:val="left"/>
      </w:pPr>
      <w:rPr>
        <w:rFonts w:hint="default" w:ascii="Times New Roman" w:hAnsi="Times New Roman" w:eastAsia="Times New Roman" w:cs="Times New Roman"/>
        <w:spacing w:val="0"/>
        <w:w w:val="100"/>
        <w:sz w:val="32"/>
        <w:szCs w:val="32"/>
      </w:rPr>
    </w:lvl>
    <w:lvl w:ilvl="1">
      <w:start w:val="0"/>
      <w:numFmt w:val="bullet"/>
      <w:lvlText w:val="•"/>
      <w:lvlJc w:val="left"/>
      <w:pPr>
        <w:ind w:left="1050" w:hanging="404"/>
      </w:pPr>
      <w:rPr>
        <w:rFonts w:hint="default"/>
      </w:rPr>
    </w:lvl>
    <w:lvl w:ilvl="2">
      <w:start w:val="0"/>
      <w:numFmt w:val="bullet"/>
      <w:lvlText w:val="•"/>
      <w:lvlJc w:val="left"/>
      <w:pPr>
        <w:ind w:left="1960" w:hanging="404"/>
      </w:pPr>
      <w:rPr>
        <w:rFonts w:hint="default"/>
      </w:rPr>
    </w:lvl>
    <w:lvl w:ilvl="3">
      <w:start w:val="0"/>
      <w:numFmt w:val="bullet"/>
      <w:lvlText w:val="•"/>
      <w:lvlJc w:val="left"/>
      <w:pPr>
        <w:ind w:left="2870" w:hanging="404"/>
      </w:pPr>
      <w:rPr>
        <w:rFonts w:hint="default"/>
      </w:rPr>
    </w:lvl>
    <w:lvl w:ilvl="4">
      <w:start w:val="0"/>
      <w:numFmt w:val="bullet"/>
      <w:lvlText w:val="•"/>
      <w:lvlJc w:val="left"/>
      <w:pPr>
        <w:ind w:left="3780" w:hanging="404"/>
      </w:pPr>
      <w:rPr>
        <w:rFonts w:hint="default"/>
      </w:rPr>
    </w:lvl>
    <w:lvl w:ilvl="5">
      <w:start w:val="0"/>
      <w:numFmt w:val="bullet"/>
      <w:lvlText w:val="•"/>
      <w:lvlJc w:val="left"/>
      <w:pPr>
        <w:ind w:left="4690" w:hanging="404"/>
      </w:pPr>
      <w:rPr>
        <w:rFonts w:hint="default"/>
      </w:rPr>
    </w:lvl>
    <w:lvl w:ilvl="6">
      <w:start w:val="0"/>
      <w:numFmt w:val="bullet"/>
      <w:lvlText w:val="•"/>
      <w:lvlJc w:val="left"/>
      <w:pPr>
        <w:ind w:left="5600" w:hanging="404"/>
      </w:pPr>
      <w:rPr>
        <w:rFonts w:hint="default"/>
      </w:rPr>
    </w:lvl>
    <w:lvl w:ilvl="7">
      <w:start w:val="0"/>
      <w:numFmt w:val="bullet"/>
      <w:lvlText w:val="•"/>
      <w:lvlJc w:val="left"/>
      <w:pPr>
        <w:ind w:left="6510" w:hanging="404"/>
      </w:pPr>
      <w:rPr>
        <w:rFonts w:hint="default"/>
      </w:rPr>
    </w:lvl>
    <w:lvl w:ilvl="8">
      <w:start w:val="0"/>
      <w:numFmt w:val="bullet"/>
      <w:lvlText w:val="•"/>
      <w:lvlJc w:val="left"/>
      <w:pPr>
        <w:ind w:left="7420" w:hanging="404"/>
      </w:pPr>
      <w:rPr>
        <w:rFonts w:hint="default"/>
      </w:rPr>
    </w:lvl>
  </w:abstractNum>
  <w:abstractNum w:abstractNumId="1">
    <w:multiLevelType w:val="hybridMultilevel"/>
    <w:lvl w:ilvl="0">
      <w:start w:val="1"/>
      <w:numFmt w:val="decimal"/>
      <w:lvlText w:val="%1."/>
      <w:lvlJc w:val="left"/>
      <w:pPr>
        <w:ind w:left="131" w:hanging="404"/>
        <w:jc w:val="left"/>
      </w:pPr>
      <w:rPr>
        <w:rFonts w:hint="default" w:ascii="Times New Roman" w:hAnsi="Times New Roman" w:eastAsia="Times New Roman" w:cs="Times New Roman"/>
        <w:spacing w:val="0"/>
        <w:w w:val="100"/>
        <w:sz w:val="32"/>
        <w:szCs w:val="32"/>
      </w:rPr>
    </w:lvl>
    <w:lvl w:ilvl="1">
      <w:start w:val="0"/>
      <w:numFmt w:val="bullet"/>
      <w:lvlText w:val="•"/>
      <w:lvlJc w:val="left"/>
      <w:pPr>
        <w:ind w:left="1050" w:hanging="404"/>
      </w:pPr>
      <w:rPr>
        <w:rFonts w:hint="default"/>
      </w:rPr>
    </w:lvl>
    <w:lvl w:ilvl="2">
      <w:start w:val="0"/>
      <w:numFmt w:val="bullet"/>
      <w:lvlText w:val="•"/>
      <w:lvlJc w:val="left"/>
      <w:pPr>
        <w:ind w:left="1960" w:hanging="404"/>
      </w:pPr>
      <w:rPr>
        <w:rFonts w:hint="default"/>
      </w:rPr>
    </w:lvl>
    <w:lvl w:ilvl="3">
      <w:start w:val="0"/>
      <w:numFmt w:val="bullet"/>
      <w:lvlText w:val="•"/>
      <w:lvlJc w:val="left"/>
      <w:pPr>
        <w:ind w:left="2870" w:hanging="404"/>
      </w:pPr>
      <w:rPr>
        <w:rFonts w:hint="default"/>
      </w:rPr>
    </w:lvl>
    <w:lvl w:ilvl="4">
      <w:start w:val="0"/>
      <w:numFmt w:val="bullet"/>
      <w:lvlText w:val="•"/>
      <w:lvlJc w:val="left"/>
      <w:pPr>
        <w:ind w:left="3780" w:hanging="404"/>
      </w:pPr>
      <w:rPr>
        <w:rFonts w:hint="default"/>
      </w:rPr>
    </w:lvl>
    <w:lvl w:ilvl="5">
      <w:start w:val="0"/>
      <w:numFmt w:val="bullet"/>
      <w:lvlText w:val="•"/>
      <w:lvlJc w:val="left"/>
      <w:pPr>
        <w:ind w:left="4690" w:hanging="404"/>
      </w:pPr>
      <w:rPr>
        <w:rFonts w:hint="default"/>
      </w:rPr>
    </w:lvl>
    <w:lvl w:ilvl="6">
      <w:start w:val="0"/>
      <w:numFmt w:val="bullet"/>
      <w:lvlText w:val="•"/>
      <w:lvlJc w:val="left"/>
      <w:pPr>
        <w:ind w:left="5600" w:hanging="404"/>
      </w:pPr>
      <w:rPr>
        <w:rFonts w:hint="default"/>
      </w:rPr>
    </w:lvl>
    <w:lvl w:ilvl="7">
      <w:start w:val="0"/>
      <w:numFmt w:val="bullet"/>
      <w:lvlText w:val="•"/>
      <w:lvlJc w:val="left"/>
      <w:pPr>
        <w:ind w:left="6510" w:hanging="404"/>
      </w:pPr>
      <w:rPr>
        <w:rFonts w:hint="default"/>
      </w:rPr>
    </w:lvl>
    <w:lvl w:ilvl="8">
      <w:start w:val="0"/>
      <w:numFmt w:val="bullet"/>
      <w:lvlText w:val="•"/>
      <w:lvlJc w:val="left"/>
      <w:pPr>
        <w:ind w:left="7420" w:hanging="404"/>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rPr>
  </w:style>
  <w:style w:styleId="BodyText" w:type="paragraph">
    <w:name w:val="Body Text"/>
    <w:basedOn w:val="Normal"/>
    <w:uiPriority w:val="1"/>
    <w:qFormat/>
    <w:pPr/>
    <w:rPr>
      <w:rFonts w:ascii="宋体" w:hAnsi="宋体" w:eastAsia="宋体" w:cs="宋体"/>
      <w:sz w:val="32"/>
      <w:szCs w:val="32"/>
    </w:rPr>
  </w:style>
  <w:style w:styleId="Heading1" w:type="paragraph">
    <w:name w:val="Heading 1"/>
    <w:basedOn w:val="Normal"/>
    <w:uiPriority w:val="1"/>
    <w:qFormat/>
    <w:pPr>
      <w:spacing w:before="42"/>
      <w:ind w:left="131"/>
      <w:jc w:val="center"/>
      <w:outlineLvl w:val="1"/>
    </w:pPr>
    <w:rPr>
      <w:rFonts w:ascii="宋体" w:hAnsi="宋体" w:eastAsia="宋体" w:cs="宋体"/>
      <w:sz w:val="44"/>
      <w:szCs w:val="44"/>
    </w:rPr>
  </w:style>
  <w:style w:styleId="Heading2" w:type="paragraph">
    <w:name w:val="Heading 2"/>
    <w:basedOn w:val="Normal"/>
    <w:uiPriority w:val="1"/>
    <w:qFormat/>
    <w:pPr>
      <w:jc w:val="center"/>
      <w:outlineLvl w:val="2"/>
    </w:pPr>
    <w:rPr>
      <w:rFonts w:ascii="宋体" w:hAnsi="宋体" w:eastAsia="宋体" w:cs="宋体"/>
      <w:sz w:val="36"/>
      <w:szCs w:val="36"/>
    </w:rPr>
  </w:style>
  <w:style w:styleId="ListParagraph" w:type="paragraph">
    <w:name w:val="List Paragraph"/>
    <w:basedOn w:val="Normal"/>
    <w:uiPriority w:val="1"/>
    <w:qFormat/>
    <w:pPr>
      <w:ind w:left="131" w:firstLine="638"/>
    </w:pPr>
    <w:rPr>
      <w:rFonts w:ascii="宋体" w:hAnsi="宋体" w:eastAsia="宋体" w:cs="宋体"/>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jpeg"/><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2022-01-08T09:28:50Z</dcterms:created>
  <dcterms:modified xsi:type="dcterms:W3CDTF">2022-01-08T09:28:50Z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2021-12-09T00:00:00Z</vt:filetime>
  </property>
  <property fmtid="{D5CDD505-2E9C-101B-9397-08002B2CF9AE}" pid="3" name="LastSaved">
    <vt:filetime>2021-12-09T00:00:00Z</vt:filetime>
  </property>
</Properties>
</file>